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1392A" w14:textId="77777777" w:rsidR="00ED7DEB" w:rsidRPr="00965C03" w:rsidRDefault="00ED7DEB" w:rsidP="00ED7DEB">
      <w:pPr>
        <w:pStyle w:val="Heading1"/>
        <w:jc w:val="center"/>
        <w:rPr>
          <w:rFonts w:ascii="Times New Roman" w:hAnsi="Times New Roman"/>
          <w:sz w:val="48"/>
          <w:szCs w:val="48"/>
        </w:rPr>
      </w:pPr>
      <w:bookmarkStart w:id="0" w:name="_GoBack"/>
      <w:bookmarkEnd w:id="0"/>
      <w:r>
        <w:t xml:space="preserve">NSCC 1010 </w:t>
      </w:r>
      <w:r w:rsidRPr="00965C03">
        <w:t>Academic Plan Assignment</w:t>
      </w:r>
    </w:p>
    <w:p w14:paraId="419AD3CE" w14:textId="77777777" w:rsidR="00ED7DEB" w:rsidRPr="00965C03" w:rsidRDefault="00ED7DEB" w:rsidP="00ED7DEB">
      <w:pPr>
        <w:rPr>
          <w:rFonts w:ascii="Times New Roman" w:hAnsi="Times New Roman"/>
          <w:sz w:val="24"/>
        </w:rPr>
      </w:pPr>
      <w:r w:rsidRPr="00965C03">
        <w:rPr>
          <w:b/>
          <w:bCs/>
          <w:sz w:val="24"/>
        </w:rPr>
        <w:t> </w:t>
      </w:r>
    </w:p>
    <w:p w14:paraId="6BBC4D9D" w14:textId="77777777" w:rsidR="00ED7DEB" w:rsidRPr="00B55AE4" w:rsidRDefault="00ED7DEB" w:rsidP="00ED7DEB">
      <w:pPr>
        <w:rPr>
          <w:rFonts w:ascii="Times New Roman" w:hAnsi="Times New Roman"/>
          <w:sz w:val="24"/>
          <w:szCs w:val="24"/>
        </w:rPr>
      </w:pPr>
      <w:r w:rsidRPr="00B55AE4">
        <w:rPr>
          <w:sz w:val="24"/>
          <w:szCs w:val="24"/>
        </w:rPr>
        <w:t xml:space="preserve">This assignment consists of two parts.  Both parts should be submitted to the “Academic Plan” assignment </w:t>
      </w:r>
      <w:proofErr w:type="spellStart"/>
      <w:r w:rsidRPr="00B55AE4">
        <w:rPr>
          <w:sz w:val="24"/>
          <w:szCs w:val="24"/>
        </w:rPr>
        <w:t>dropbox</w:t>
      </w:r>
      <w:proofErr w:type="spellEnd"/>
      <w:r w:rsidRPr="00B55AE4">
        <w:rPr>
          <w:sz w:val="24"/>
          <w:szCs w:val="24"/>
        </w:rPr>
        <w:t>.</w:t>
      </w:r>
    </w:p>
    <w:p w14:paraId="31FA80B0" w14:textId="77777777" w:rsidR="00ED7DEB" w:rsidRDefault="00ED7DEB" w:rsidP="00ED7DEB">
      <w:pPr>
        <w:pStyle w:val="Heading2"/>
      </w:pPr>
      <w:r>
        <w:t xml:space="preserve">Part 1: Standard Advising Sheet </w:t>
      </w:r>
    </w:p>
    <w:p w14:paraId="7227B521" w14:textId="77777777" w:rsidR="00ED7DEB" w:rsidRPr="005D720B" w:rsidRDefault="00ED7DEB" w:rsidP="00ED7DEB">
      <w:pPr>
        <w:rPr>
          <w:sz w:val="24"/>
          <w:szCs w:val="24"/>
        </w:rPr>
      </w:pPr>
      <w:r w:rsidRPr="005D720B">
        <w:rPr>
          <w:sz w:val="24"/>
          <w:szCs w:val="24"/>
        </w:rPr>
        <w:t xml:space="preserve">Submit an electronic copy of the standard advising sheet for your current degree at Nashville State or the one that will be your current degree once you complete a “Change of Major Form.” There are two ways you may submit the </w:t>
      </w:r>
      <w:r w:rsidR="006E0089">
        <w:rPr>
          <w:sz w:val="24"/>
          <w:szCs w:val="24"/>
        </w:rPr>
        <w:t>S</w:t>
      </w:r>
      <w:r w:rsidRPr="005D720B">
        <w:rPr>
          <w:sz w:val="24"/>
          <w:szCs w:val="24"/>
        </w:rPr>
        <w:t xml:space="preserve">tandard </w:t>
      </w:r>
      <w:r w:rsidR="006E0089">
        <w:rPr>
          <w:sz w:val="24"/>
          <w:szCs w:val="24"/>
        </w:rPr>
        <w:t>A</w:t>
      </w:r>
      <w:r w:rsidRPr="005D720B">
        <w:rPr>
          <w:sz w:val="24"/>
          <w:szCs w:val="24"/>
        </w:rPr>
        <w:t xml:space="preserve">dvising </w:t>
      </w:r>
      <w:r w:rsidR="006E0089">
        <w:rPr>
          <w:sz w:val="24"/>
          <w:szCs w:val="24"/>
        </w:rPr>
        <w:t>S</w:t>
      </w:r>
      <w:r w:rsidRPr="005D720B">
        <w:rPr>
          <w:sz w:val="24"/>
          <w:szCs w:val="24"/>
        </w:rPr>
        <w:t>heet.</w:t>
      </w:r>
    </w:p>
    <w:p w14:paraId="785CA0FB" w14:textId="77777777" w:rsidR="00ED7DEB" w:rsidRPr="005D720B" w:rsidRDefault="00ED7DEB" w:rsidP="00ED7DEB">
      <w:pPr>
        <w:pStyle w:val="ListParagraph"/>
        <w:numPr>
          <w:ilvl w:val="0"/>
          <w:numId w:val="1"/>
        </w:numPr>
        <w:spacing w:line="240" w:lineRule="auto"/>
        <w:rPr>
          <w:rFonts w:ascii="Times New Roman" w:hAnsi="Times New Roman"/>
        </w:rPr>
      </w:pPr>
      <w:r w:rsidRPr="006E0089">
        <w:rPr>
          <w:b/>
        </w:rPr>
        <w:t>Option 1:</w:t>
      </w:r>
      <w:r w:rsidRPr="005D720B">
        <w:t xml:space="preserve"> This option is best for Tennessee Transfer Pathway (TTP) degrees. Go to Degree Works via </w:t>
      </w:r>
      <w:proofErr w:type="spellStart"/>
      <w:r w:rsidRPr="005D720B">
        <w:t>myNSCC</w:t>
      </w:r>
      <w:proofErr w:type="spellEnd"/>
      <w:r w:rsidRPr="005D720B">
        <w:t xml:space="preserve">. The worksheet tab shows the classes you need to take. If you plan to change your degree, select the “What if” option and select the appropriate degree. Once the worksheet tab shows the courses for your intended degree, click the “Save as PDF” button near the top of the page. Upload this PDF to the assignment </w:t>
      </w:r>
      <w:proofErr w:type="spellStart"/>
      <w:r w:rsidRPr="005D720B">
        <w:t>dropbox</w:t>
      </w:r>
      <w:proofErr w:type="spellEnd"/>
      <w:r w:rsidRPr="005D720B">
        <w:t>.</w:t>
      </w:r>
    </w:p>
    <w:p w14:paraId="1498AFE7" w14:textId="77777777" w:rsidR="00ED7DEB" w:rsidRPr="005D720B" w:rsidRDefault="00ED7DEB" w:rsidP="00ED7DEB">
      <w:pPr>
        <w:pStyle w:val="ListParagraph"/>
        <w:numPr>
          <w:ilvl w:val="0"/>
          <w:numId w:val="1"/>
        </w:numPr>
        <w:spacing w:line="240" w:lineRule="auto"/>
        <w:rPr>
          <w:rFonts w:ascii="Times New Roman" w:hAnsi="Times New Roman"/>
        </w:rPr>
      </w:pPr>
      <w:r w:rsidRPr="006E0089">
        <w:rPr>
          <w:b/>
        </w:rPr>
        <w:t>Option 2:</w:t>
      </w:r>
      <w:r w:rsidRPr="005D720B">
        <w:t xml:space="preserve"> This option is best for University Parallel degrees and AAS degrees because they contain important information you may not see in Degree Works. Go to the “Academics” page on the NSCC website (</w:t>
      </w:r>
      <w:hyperlink r:id="rId5" w:history="1">
        <w:r w:rsidRPr="005D720B">
          <w:rPr>
            <w:rStyle w:val="Hyperlink"/>
          </w:rPr>
          <w:t>www.nscc.edu</w:t>
        </w:r>
      </w:hyperlink>
      <w:r w:rsidRPr="005D720B">
        <w:t xml:space="preserve">). Then go to “Degrees &amp; Certificates.” Select the appropriate degree. Then select “Advising Sheets.” Select the appropriate advising sheet. Save an electronic copy of the document and upload to the assignment drobox. </w:t>
      </w:r>
    </w:p>
    <w:p w14:paraId="40A0E7FE" w14:textId="77777777" w:rsidR="00ED7DEB" w:rsidRPr="005D720B" w:rsidRDefault="00ED7DEB" w:rsidP="00ED7DEB">
      <w:pPr>
        <w:pStyle w:val="ListParagraph"/>
        <w:numPr>
          <w:ilvl w:val="0"/>
          <w:numId w:val="1"/>
        </w:numPr>
        <w:spacing w:line="240" w:lineRule="auto"/>
      </w:pPr>
      <w:r w:rsidRPr="005D720B">
        <w:t xml:space="preserve">You may also complete both options. It does not hurt to have as much information as possible, so you can make informed choices. </w:t>
      </w:r>
    </w:p>
    <w:p w14:paraId="77F0C227" w14:textId="77777777" w:rsidR="00ED7DEB" w:rsidRDefault="00ED7DEB" w:rsidP="00ED7DEB">
      <w:pPr>
        <w:pStyle w:val="Heading2"/>
      </w:pPr>
      <w:r>
        <w:t xml:space="preserve">Part 2: Personalized </w:t>
      </w:r>
      <w:r w:rsidRPr="00965C03">
        <w:t xml:space="preserve">Advising Sheet </w:t>
      </w:r>
    </w:p>
    <w:p w14:paraId="6A554BED" w14:textId="77777777" w:rsidR="00ED7DEB" w:rsidRDefault="00ED7DEB" w:rsidP="00ED7DEB">
      <w:pPr>
        <w:rPr>
          <w:sz w:val="24"/>
        </w:rPr>
      </w:pPr>
      <w:r>
        <w:rPr>
          <w:sz w:val="24"/>
        </w:rPr>
        <w:t>Using the advising sheet(s) from Part 1 as your guide, you will make your own personalized academic plan. Open and complete the attached “Personalized Advising Sheet.” Please carefully read the guidelines below.</w:t>
      </w:r>
    </w:p>
    <w:p w14:paraId="654EA361" w14:textId="77777777" w:rsidR="00ED7DEB" w:rsidRPr="005D720B" w:rsidRDefault="00ED7DEB" w:rsidP="00ED7DEB">
      <w:pPr>
        <w:pStyle w:val="ListParagraph"/>
        <w:numPr>
          <w:ilvl w:val="0"/>
          <w:numId w:val="1"/>
        </w:numPr>
        <w:spacing w:line="240" w:lineRule="auto"/>
      </w:pPr>
      <w:r w:rsidRPr="005D720B">
        <w:t xml:space="preserve">Arrange the courses for your degree at a pace that works for you until you can finish your degree and graduate. </w:t>
      </w:r>
    </w:p>
    <w:p w14:paraId="14DEA9BE" w14:textId="77777777" w:rsidR="00ED7DEB" w:rsidRPr="005D720B" w:rsidRDefault="00ED7DEB" w:rsidP="00ED7DEB">
      <w:pPr>
        <w:pStyle w:val="ListParagraph"/>
        <w:numPr>
          <w:ilvl w:val="0"/>
          <w:numId w:val="1"/>
        </w:numPr>
        <w:spacing w:line="240" w:lineRule="auto"/>
      </w:pPr>
      <w:r w:rsidRPr="005D720B">
        <w:t>Include learning support classes, if appropriate</w:t>
      </w:r>
      <w:r w:rsidR="006E0089">
        <w:t xml:space="preserve"> in the first year</w:t>
      </w:r>
      <w:r w:rsidRPr="005D720B">
        <w:t>.</w:t>
      </w:r>
    </w:p>
    <w:p w14:paraId="3D2287E9" w14:textId="77777777" w:rsidR="00ED7DEB" w:rsidRPr="005D720B" w:rsidRDefault="00ED7DEB" w:rsidP="00ED7DEB">
      <w:pPr>
        <w:pStyle w:val="ListParagraph"/>
        <w:numPr>
          <w:ilvl w:val="0"/>
          <w:numId w:val="1"/>
        </w:numPr>
        <w:spacing w:line="240" w:lineRule="auto"/>
      </w:pPr>
      <w:r w:rsidRPr="005D720B">
        <w:t>Include pre-requisite classes, if appropriate (this is especially likely for Math classes required in your degree)</w:t>
      </w:r>
      <w:r w:rsidR="006E0089">
        <w:t xml:space="preserve"> in the first year</w:t>
      </w:r>
      <w:r w:rsidRPr="005D720B">
        <w:t>.</w:t>
      </w:r>
    </w:p>
    <w:p w14:paraId="70C4BDB9" w14:textId="77777777" w:rsidR="00ED7DEB" w:rsidRPr="005D720B" w:rsidRDefault="00ED7DEB" w:rsidP="00ED7DEB">
      <w:pPr>
        <w:pStyle w:val="ListParagraph"/>
        <w:numPr>
          <w:ilvl w:val="0"/>
          <w:numId w:val="1"/>
        </w:numPr>
        <w:spacing w:line="240" w:lineRule="auto"/>
      </w:pPr>
      <w:r w:rsidRPr="005D720B">
        <w:t>Complete required college-level math classes in your first year or take math each semester until you finish.</w:t>
      </w:r>
    </w:p>
    <w:p w14:paraId="46AF585E" w14:textId="77777777" w:rsidR="00ED7DEB" w:rsidRPr="005D720B" w:rsidRDefault="00ED7DEB" w:rsidP="00ED7DEB">
      <w:pPr>
        <w:pStyle w:val="ListParagraph"/>
        <w:numPr>
          <w:ilvl w:val="0"/>
          <w:numId w:val="1"/>
        </w:numPr>
        <w:spacing w:line="240" w:lineRule="auto"/>
      </w:pPr>
      <w:r w:rsidRPr="005D720B">
        <w:t>Complete required English composition classes in your first year.</w:t>
      </w:r>
    </w:p>
    <w:p w14:paraId="4FDDF938" w14:textId="77777777" w:rsidR="00ED7DEB" w:rsidRPr="005D720B" w:rsidRDefault="00ED7DEB" w:rsidP="00ED7DEB">
      <w:pPr>
        <w:pStyle w:val="ListParagraph"/>
        <w:numPr>
          <w:ilvl w:val="0"/>
          <w:numId w:val="1"/>
        </w:numPr>
        <w:spacing w:line="240" w:lineRule="auto"/>
      </w:pPr>
      <w:r w:rsidRPr="005D720B">
        <w:t xml:space="preserve">Complete 9 credits (usually 3 courses) in your focus area in your first year. </w:t>
      </w:r>
    </w:p>
    <w:p w14:paraId="11AEC8D7" w14:textId="77777777" w:rsidR="00ED7DEB" w:rsidRPr="005D720B" w:rsidRDefault="00ED7DEB" w:rsidP="00ED7DEB">
      <w:pPr>
        <w:pStyle w:val="ListParagraph"/>
        <w:numPr>
          <w:ilvl w:val="0"/>
          <w:numId w:val="1"/>
        </w:numPr>
        <w:spacing w:line="240" w:lineRule="auto"/>
        <w:rPr>
          <w:b/>
        </w:rPr>
      </w:pPr>
      <w:r w:rsidRPr="005D720B">
        <w:rPr>
          <w:b/>
        </w:rPr>
        <w:t xml:space="preserve">Next to the name of each course in the plan, write a statement that describes how the course will help you achieve your academic goals. Two sample statements for common courses are included in the Personalized </w:t>
      </w:r>
      <w:r w:rsidR="006E0089">
        <w:rPr>
          <w:b/>
        </w:rPr>
        <w:t>Advising Sheet</w:t>
      </w:r>
      <w:r w:rsidRPr="005D720B">
        <w:rPr>
          <w:b/>
        </w:rPr>
        <w:t>.</w:t>
      </w:r>
    </w:p>
    <w:p w14:paraId="795B9E5E" w14:textId="77777777" w:rsidR="00ED7DEB" w:rsidRDefault="00ED7DEB" w:rsidP="00ED7DEB">
      <w:pPr>
        <w:rPr>
          <w:b/>
          <w:bCs/>
          <w:sz w:val="24"/>
        </w:rPr>
      </w:pPr>
      <w:r>
        <w:rPr>
          <w:b/>
          <w:bCs/>
          <w:sz w:val="24"/>
        </w:rPr>
        <w:br w:type="page"/>
      </w:r>
    </w:p>
    <w:p w14:paraId="4AD77A2D" w14:textId="77777777" w:rsidR="00ED7DEB" w:rsidRDefault="00ED7DEB" w:rsidP="00ED7DEB">
      <w:pPr>
        <w:pStyle w:val="Heading2"/>
        <w:spacing w:before="0" w:after="120"/>
      </w:pPr>
      <w:r>
        <w:lastRenderedPageBreak/>
        <w:t>Academic Plan Rubric</w:t>
      </w:r>
    </w:p>
    <w:p w14:paraId="4776FE44" w14:textId="77777777" w:rsidR="00ED7DEB" w:rsidRDefault="00ED7DEB" w:rsidP="00ED7DEB">
      <w:pPr>
        <w:rPr>
          <w:sz w:val="24"/>
        </w:rPr>
      </w:pPr>
      <w:r>
        <w:rPr>
          <w:sz w:val="24"/>
        </w:rPr>
        <w:t>The plan will be graded according to following rubric. Once the plan has been graded and considered satisfactory by your instructor, you will need to email the plan t</w:t>
      </w:r>
      <w:r w:rsidR="006E0089">
        <w:rPr>
          <w:sz w:val="24"/>
        </w:rPr>
        <w:t>o your advisor.</w:t>
      </w:r>
    </w:p>
    <w:tbl>
      <w:tblPr>
        <w:tblStyle w:val="TableGrid"/>
        <w:tblW w:w="10368" w:type="dxa"/>
        <w:jc w:val="center"/>
        <w:tblLook w:val="04A0" w:firstRow="1" w:lastRow="0" w:firstColumn="1" w:lastColumn="0" w:noHBand="0" w:noVBand="1"/>
      </w:tblPr>
      <w:tblGrid>
        <w:gridCol w:w="1728"/>
        <w:gridCol w:w="1728"/>
        <w:gridCol w:w="1728"/>
        <w:gridCol w:w="1728"/>
        <w:gridCol w:w="1728"/>
        <w:gridCol w:w="1728"/>
      </w:tblGrid>
      <w:tr w:rsidR="00C010FC" w14:paraId="455F3ABD" w14:textId="77777777" w:rsidTr="0048404B">
        <w:trPr>
          <w:jc w:val="center"/>
        </w:trPr>
        <w:tc>
          <w:tcPr>
            <w:tcW w:w="1728" w:type="dxa"/>
            <w:shd w:val="clear" w:color="auto" w:fill="D9D9D9" w:themeFill="background1" w:themeFillShade="D9"/>
          </w:tcPr>
          <w:p w14:paraId="3B056273" w14:textId="77777777" w:rsidR="00ED7DEB" w:rsidRPr="009C0D7B" w:rsidRDefault="00ED7DEB" w:rsidP="003F0B2D">
            <w:pPr>
              <w:rPr>
                <w:b/>
              </w:rPr>
            </w:pPr>
            <w:r w:rsidRPr="009C0D7B">
              <w:rPr>
                <w:b/>
              </w:rPr>
              <w:t>Category</w:t>
            </w:r>
          </w:p>
        </w:tc>
        <w:tc>
          <w:tcPr>
            <w:tcW w:w="1728" w:type="dxa"/>
            <w:shd w:val="clear" w:color="auto" w:fill="D9D9D9" w:themeFill="background1" w:themeFillShade="D9"/>
          </w:tcPr>
          <w:p w14:paraId="589EB742" w14:textId="77777777" w:rsidR="00ED7DEB" w:rsidRPr="0048404B" w:rsidRDefault="006E0089" w:rsidP="00C010FC">
            <w:pPr>
              <w:jc w:val="center"/>
              <w:rPr>
                <w:b/>
                <w:sz w:val="20"/>
                <w:szCs w:val="20"/>
              </w:rPr>
            </w:pPr>
            <w:r w:rsidRPr="0048404B">
              <w:rPr>
                <w:b/>
                <w:sz w:val="20"/>
                <w:szCs w:val="20"/>
              </w:rPr>
              <w:t xml:space="preserve">20 </w:t>
            </w:r>
            <w:r w:rsidR="00ED7DEB" w:rsidRPr="0048404B">
              <w:rPr>
                <w:b/>
                <w:sz w:val="20"/>
                <w:szCs w:val="20"/>
              </w:rPr>
              <w:t>Points</w:t>
            </w:r>
          </w:p>
        </w:tc>
        <w:tc>
          <w:tcPr>
            <w:tcW w:w="1728" w:type="dxa"/>
            <w:shd w:val="clear" w:color="auto" w:fill="D9D9D9" w:themeFill="background1" w:themeFillShade="D9"/>
          </w:tcPr>
          <w:p w14:paraId="5BE944E1" w14:textId="77777777" w:rsidR="00ED7DEB" w:rsidRPr="0048404B" w:rsidRDefault="006E0089" w:rsidP="00C010FC">
            <w:pPr>
              <w:jc w:val="center"/>
              <w:rPr>
                <w:b/>
                <w:sz w:val="20"/>
                <w:szCs w:val="20"/>
              </w:rPr>
            </w:pPr>
            <w:r w:rsidRPr="0048404B">
              <w:rPr>
                <w:b/>
                <w:sz w:val="20"/>
                <w:szCs w:val="20"/>
              </w:rPr>
              <w:t>15</w:t>
            </w:r>
            <w:r w:rsidR="00ED7DEB" w:rsidRPr="0048404B">
              <w:rPr>
                <w:b/>
                <w:sz w:val="20"/>
                <w:szCs w:val="20"/>
              </w:rPr>
              <w:t xml:space="preserve"> Points</w:t>
            </w:r>
          </w:p>
        </w:tc>
        <w:tc>
          <w:tcPr>
            <w:tcW w:w="1728" w:type="dxa"/>
            <w:shd w:val="clear" w:color="auto" w:fill="D9D9D9" w:themeFill="background1" w:themeFillShade="D9"/>
          </w:tcPr>
          <w:p w14:paraId="1F0446C7" w14:textId="77777777" w:rsidR="00ED7DEB" w:rsidRPr="0048404B" w:rsidRDefault="006E0089" w:rsidP="00C010FC">
            <w:pPr>
              <w:jc w:val="center"/>
              <w:rPr>
                <w:b/>
                <w:sz w:val="20"/>
                <w:szCs w:val="20"/>
              </w:rPr>
            </w:pPr>
            <w:r w:rsidRPr="0048404B">
              <w:rPr>
                <w:b/>
                <w:sz w:val="20"/>
                <w:szCs w:val="20"/>
              </w:rPr>
              <w:t>10</w:t>
            </w:r>
            <w:r w:rsidR="00ED7DEB" w:rsidRPr="0048404B">
              <w:rPr>
                <w:b/>
                <w:sz w:val="20"/>
                <w:szCs w:val="20"/>
              </w:rPr>
              <w:t xml:space="preserve"> Points</w:t>
            </w:r>
          </w:p>
        </w:tc>
        <w:tc>
          <w:tcPr>
            <w:tcW w:w="1728" w:type="dxa"/>
            <w:shd w:val="clear" w:color="auto" w:fill="D9D9D9" w:themeFill="background1" w:themeFillShade="D9"/>
          </w:tcPr>
          <w:p w14:paraId="021C0E5F" w14:textId="77777777" w:rsidR="00ED7DEB" w:rsidRPr="0048404B" w:rsidRDefault="006E0089" w:rsidP="00C010FC">
            <w:pPr>
              <w:jc w:val="center"/>
              <w:rPr>
                <w:b/>
                <w:sz w:val="20"/>
                <w:szCs w:val="20"/>
              </w:rPr>
            </w:pPr>
            <w:r w:rsidRPr="0048404B">
              <w:rPr>
                <w:b/>
                <w:sz w:val="20"/>
                <w:szCs w:val="20"/>
              </w:rPr>
              <w:t>5</w:t>
            </w:r>
            <w:r w:rsidR="00ED7DEB" w:rsidRPr="0048404B">
              <w:rPr>
                <w:b/>
                <w:sz w:val="20"/>
                <w:szCs w:val="20"/>
              </w:rPr>
              <w:t xml:space="preserve"> Point</w:t>
            </w:r>
            <w:r w:rsidRPr="0048404B">
              <w:rPr>
                <w:b/>
                <w:sz w:val="20"/>
                <w:szCs w:val="20"/>
              </w:rPr>
              <w:t>s</w:t>
            </w:r>
          </w:p>
        </w:tc>
        <w:tc>
          <w:tcPr>
            <w:tcW w:w="1728" w:type="dxa"/>
            <w:shd w:val="clear" w:color="auto" w:fill="D9D9D9" w:themeFill="background1" w:themeFillShade="D9"/>
          </w:tcPr>
          <w:p w14:paraId="09601055" w14:textId="77777777" w:rsidR="00ED7DEB" w:rsidRPr="0048404B" w:rsidRDefault="00ED7DEB" w:rsidP="00C010FC">
            <w:pPr>
              <w:jc w:val="center"/>
              <w:rPr>
                <w:b/>
                <w:sz w:val="20"/>
                <w:szCs w:val="20"/>
              </w:rPr>
            </w:pPr>
            <w:r w:rsidRPr="0048404B">
              <w:rPr>
                <w:b/>
                <w:sz w:val="20"/>
                <w:szCs w:val="20"/>
              </w:rPr>
              <w:t>0 Points</w:t>
            </w:r>
          </w:p>
        </w:tc>
      </w:tr>
      <w:tr w:rsidR="00C010FC" w14:paraId="087F3652" w14:textId="77777777" w:rsidTr="0048404B">
        <w:trPr>
          <w:jc w:val="center"/>
        </w:trPr>
        <w:tc>
          <w:tcPr>
            <w:tcW w:w="1728" w:type="dxa"/>
            <w:shd w:val="clear" w:color="auto" w:fill="D9D9D9" w:themeFill="background1" w:themeFillShade="D9"/>
          </w:tcPr>
          <w:p w14:paraId="715D356C" w14:textId="77777777" w:rsidR="00ED7DEB" w:rsidRPr="0048404B" w:rsidRDefault="00ED7DEB" w:rsidP="003F0B2D">
            <w:pPr>
              <w:rPr>
                <w:b/>
                <w:sz w:val="19"/>
                <w:szCs w:val="19"/>
              </w:rPr>
            </w:pPr>
            <w:r w:rsidRPr="0048404B">
              <w:rPr>
                <w:b/>
                <w:sz w:val="19"/>
                <w:szCs w:val="19"/>
              </w:rPr>
              <w:t>Submission of Standard Advising Sheet</w:t>
            </w:r>
          </w:p>
        </w:tc>
        <w:tc>
          <w:tcPr>
            <w:tcW w:w="1728" w:type="dxa"/>
          </w:tcPr>
          <w:p w14:paraId="1FD759D0" w14:textId="77777777" w:rsidR="00ED7DEB" w:rsidRPr="0048404B" w:rsidRDefault="006E0089" w:rsidP="006E0089">
            <w:pPr>
              <w:rPr>
                <w:sz w:val="20"/>
                <w:szCs w:val="20"/>
              </w:rPr>
            </w:pPr>
            <w:r w:rsidRPr="0048404B">
              <w:rPr>
                <w:sz w:val="20"/>
                <w:szCs w:val="20"/>
              </w:rPr>
              <w:t>Submission of Standard Advising Sheet (Your Degree Works list of courses and/or appropriate Advising Sheet from nscc.edu website)</w:t>
            </w:r>
          </w:p>
        </w:tc>
        <w:tc>
          <w:tcPr>
            <w:tcW w:w="1728" w:type="dxa"/>
          </w:tcPr>
          <w:p w14:paraId="239D317E" w14:textId="77777777" w:rsidR="00ED7DEB" w:rsidRPr="0048404B" w:rsidRDefault="00ED7DEB" w:rsidP="003F0B2D">
            <w:pPr>
              <w:rPr>
                <w:sz w:val="20"/>
                <w:szCs w:val="20"/>
              </w:rPr>
            </w:pPr>
            <w:r w:rsidRPr="0048404B">
              <w:rPr>
                <w:sz w:val="20"/>
                <w:szCs w:val="20"/>
              </w:rPr>
              <w:t>N/A</w:t>
            </w:r>
          </w:p>
        </w:tc>
        <w:tc>
          <w:tcPr>
            <w:tcW w:w="1728" w:type="dxa"/>
          </w:tcPr>
          <w:p w14:paraId="608079B3" w14:textId="77777777" w:rsidR="00ED7DEB" w:rsidRPr="0048404B" w:rsidRDefault="00ED7DEB" w:rsidP="003F0B2D">
            <w:pPr>
              <w:rPr>
                <w:sz w:val="20"/>
                <w:szCs w:val="20"/>
              </w:rPr>
            </w:pPr>
            <w:r w:rsidRPr="0048404B">
              <w:rPr>
                <w:sz w:val="20"/>
                <w:szCs w:val="20"/>
              </w:rPr>
              <w:t>N/A</w:t>
            </w:r>
          </w:p>
        </w:tc>
        <w:tc>
          <w:tcPr>
            <w:tcW w:w="1728" w:type="dxa"/>
          </w:tcPr>
          <w:p w14:paraId="3BC9BA72" w14:textId="77777777" w:rsidR="00ED7DEB" w:rsidRPr="0048404B" w:rsidRDefault="00ED7DEB" w:rsidP="003F0B2D">
            <w:pPr>
              <w:rPr>
                <w:sz w:val="20"/>
                <w:szCs w:val="20"/>
              </w:rPr>
            </w:pPr>
            <w:r w:rsidRPr="0048404B">
              <w:rPr>
                <w:sz w:val="20"/>
                <w:szCs w:val="20"/>
              </w:rPr>
              <w:t>N/A</w:t>
            </w:r>
          </w:p>
        </w:tc>
        <w:tc>
          <w:tcPr>
            <w:tcW w:w="1728" w:type="dxa"/>
          </w:tcPr>
          <w:p w14:paraId="450268E7" w14:textId="77777777" w:rsidR="00ED7DEB" w:rsidRPr="0048404B" w:rsidRDefault="006E0089" w:rsidP="003F0B2D">
            <w:pPr>
              <w:rPr>
                <w:sz w:val="20"/>
                <w:szCs w:val="20"/>
              </w:rPr>
            </w:pPr>
            <w:r w:rsidRPr="0048404B">
              <w:rPr>
                <w:sz w:val="20"/>
                <w:szCs w:val="20"/>
              </w:rPr>
              <w:t>No submission of Standard Advising Sheet (Your Degree Works list of courses and/or appropriate Advising Sheet from nscc.edu website)</w:t>
            </w:r>
          </w:p>
        </w:tc>
      </w:tr>
      <w:tr w:rsidR="00C010FC" w14:paraId="409C93E6" w14:textId="77777777" w:rsidTr="0048404B">
        <w:trPr>
          <w:jc w:val="center"/>
        </w:trPr>
        <w:tc>
          <w:tcPr>
            <w:tcW w:w="1728" w:type="dxa"/>
            <w:shd w:val="clear" w:color="auto" w:fill="D9D9D9" w:themeFill="background1" w:themeFillShade="D9"/>
          </w:tcPr>
          <w:p w14:paraId="13539772" w14:textId="77777777" w:rsidR="00ED7DEB" w:rsidRPr="0048404B" w:rsidRDefault="006E0089" w:rsidP="006E0089">
            <w:pPr>
              <w:rPr>
                <w:b/>
                <w:sz w:val="19"/>
                <w:szCs w:val="19"/>
              </w:rPr>
            </w:pPr>
            <w:r w:rsidRPr="0048404B">
              <w:rPr>
                <w:b/>
                <w:sz w:val="19"/>
                <w:szCs w:val="19"/>
              </w:rPr>
              <w:t xml:space="preserve">Submission of </w:t>
            </w:r>
            <w:r w:rsidR="00ED7DEB" w:rsidRPr="0048404B">
              <w:rPr>
                <w:b/>
                <w:sz w:val="19"/>
                <w:szCs w:val="19"/>
              </w:rPr>
              <w:t xml:space="preserve">Personalized Advising Sheet </w:t>
            </w:r>
          </w:p>
        </w:tc>
        <w:tc>
          <w:tcPr>
            <w:tcW w:w="1728" w:type="dxa"/>
          </w:tcPr>
          <w:p w14:paraId="08E5B7F9" w14:textId="77777777" w:rsidR="00ED7DEB" w:rsidRPr="0048404B" w:rsidRDefault="00ED7DEB" w:rsidP="003F0B2D">
            <w:pPr>
              <w:rPr>
                <w:sz w:val="20"/>
                <w:szCs w:val="20"/>
              </w:rPr>
            </w:pPr>
            <w:r w:rsidRPr="0048404B">
              <w:rPr>
                <w:sz w:val="20"/>
                <w:szCs w:val="20"/>
              </w:rPr>
              <w:t>The courses listed in the Personalized Advising Sheet are a reasonable completion of the Standard Advising Sheet with learning support classes and p</w:t>
            </w:r>
            <w:r w:rsidR="006E0089" w:rsidRPr="0048404B">
              <w:rPr>
                <w:sz w:val="20"/>
                <w:szCs w:val="20"/>
              </w:rPr>
              <w:t>re-requisites when appropriate</w:t>
            </w:r>
          </w:p>
        </w:tc>
        <w:tc>
          <w:tcPr>
            <w:tcW w:w="1728" w:type="dxa"/>
          </w:tcPr>
          <w:p w14:paraId="6FCF90D7" w14:textId="77777777" w:rsidR="00ED7DEB" w:rsidRPr="0048404B" w:rsidRDefault="00ED7DEB" w:rsidP="003F0B2D">
            <w:pPr>
              <w:rPr>
                <w:sz w:val="20"/>
                <w:szCs w:val="20"/>
              </w:rPr>
            </w:pPr>
            <w:r w:rsidRPr="0048404B">
              <w:rPr>
                <w:sz w:val="20"/>
                <w:szCs w:val="20"/>
              </w:rPr>
              <w:t>75-99% of the</w:t>
            </w:r>
            <w:r w:rsidR="006E0089" w:rsidRPr="0048404B">
              <w:rPr>
                <w:sz w:val="20"/>
                <w:szCs w:val="20"/>
              </w:rPr>
              <w:t xml:space="preserve"> appropriate courses are listed</w:t>
            </w:r>
          </w:p>
        </w:tc>
        <w:tc>
          <w:tcPr>
            <w:tcW w:w="1728" w:type="dxa"/>
          </w:tcPr>
          <w:p w14:paraId="08F46997" w14:textId="77777777" w:rsidR="00ED7DEB" w:rsidRPr="0048404B" w:rsidRDefault="00ED7DEB" w:rsidP="003F0B2D">
            <w:pPr>
              <w:rPr>
                <w:sz w:val="20"/>
                <w:szCs w:val="20"/>
              </w:rPr>
            </w:pPr>
            <w:r w:rsidRPr="0048404B">
              <w:rPr>
                <w:sz w:val="20"/>
                <w:szCs w:val="20"/>
              </w:rPr>
              <w:t>50-74% of the appropriate courses are li</w:t>
            </w:r>
            <w:r w:rsidR="006E0089" w:rsidRPr="0048404B">
              <w:rPr>
                <w:sz w:val="20"/>
                <w:szCs w:val="20"/>
              </w:rPr>
              <w:t>sted</w:t>
            </w:r>
          </w:p>
        </w:tc>
        <w:tc>
          <w:tcPr>
            <w:tcW w:w="1728" w:type="dxa"/>
          </w:tcPr>
          <w:p w14:paraId="23838579" w14:textId="77777777" w:rsidR="00ED7DEB" w:rsidRPr="0048404B" w:rsidRDefault="006E0089" w:rsidP="003F0B2D">
            <w:pPr>
              <w:rPr>
                <w:sz w:val="20"/>
                <w:szCs w:val="20"/>
              </w:rPr>
            </w:pPr>
            <w:r w:rsidRPr="0048404B">
              <w:rPr>
                <w:sz w:val="20"/>
                <w:szCs w:val="20"/>
              </w:rPr>
              <w:t>Less</w:t>
            </w:r>
            <w:r w:rsidR="00ED7DEB" w:rsidRPr="0048404B">
              <w:rPr>
                <w:sz w:val="20"/>
                <w:szCs w:val="20"/>
              </w:rPr>
              <w:t xml:space="preserve"> than 50% of the</w:t>
            </w:r>
            <w:r w:rsidRPr="0048404B">
              <w:rPr>
                <w:sz w:val="20"/>
                <w:szCs w:val="20"/>
              </w:rPr>
              <w:t xml:space="preserve"> appropriate courses are listed</w:t>
            </w:r>
          </w:p>
        </w:tc>
        <w:tc>
          <w:tcPr>
            <w:tcW w:w="1728" w:type="dxa"/>
          </w:tcPr>
          <w:p w14:paraId="07A42E9B" w14:textId="77777777" w:rsidR="00ED7DEB" w:rsidRPr="0048404B" w:rsidRDefault="00ED7DEB" w:rsidP="003F0B2D">
            <w:pPr>
              <w:rPr>
                <w:sz w:val="20"/>
                <w:szCs w:val="20"/>
              </w:rPr>
            </w:pPr>
            <w:r w:rsidRPr="0048404B">
              <w:rPr>
                <w:sz w:val="20"/>
                <w:szCs w:val="20"/>
              </w:rPr>
              <w:t>No Personalized Advising Sheet Submitted</w:t>
            </w:r>
          </w:p>
        </w:tc>
      </w:tr>
      <w:tr w:rsidR="00C010FC" w14:paraId="69D97032" w14:textId="77777777" w:rsidTr="0048404B">
        <w:trPr>
          <w:jc w:val="center"/>
        </w:trPr>
        <w:tc>
          <w:tcPr>
            <w:tcW w:w="1728" w:type="dxa"/>
            <w:shd w:val="clear" w:color="auto" w:fill="D9D9D9" w:themeFill="background1" w:themeFillShade="D9"/>
          </w:tcPr>
          <w:p w14:paraId="51E2C31C" w14:textId="77777777" w:rsidR="00ED7DEB" w:rsidRPr="0048404B" w:rsidRDefault="00C010FC" w:rsidP="003F0B2D">
            <w:pPr>
              <w:rPr>
                <w:b/>
                <w:sz w:val="19"/>
                <w:szCs w:val="19"/>
              </w:rPr>
            </w:pPr>
            <w:r w:rsidRPr="0048404B">
              <w:rPr>
                <w:b/>
                <w:sz w:val="19"/>
                <w:szCs w:val="19"/>
              </w:rPr>
              <w:t>Personalized Advising Sheet includes three first year goals: college-level math, English composition, and 9 hours in the focus area in the first academic year</w:t>
            </w:r>
          </w:p>
        </w:tc>
        <w:tc>
          <w:tcPr>
            <w:tcW w:w="1728" w:type="dxa"/>
          </w:tcPr>
          <w:p w14:paraId="0363D9E0" w14:textId="77777777" w:rsidR="00ED7DEB" w:rsidRPr="0048404B" w:rsidRDefault="00C010FC" w:rsidP="003F0B2D">
            <w:pPr>
              <w:rPr>
                <w:sz w:val="20"/>
                <w:szCs w:val="20"/>
              </w:rPr>
            </w:pPr>
            <w:r w:rsidRPr="0048404B">
              <w:rPr>
                <w:sz w:val="20"/>
                <w:szCs w:val="20"/>
              </w:rPr>
              <w:t>Personalized Advising Sheet includes all three first year goals</w:t>
            </w:r>
          </w:p>
        </w:tc>
        <w:tc>
          <w:tcPr>
            <w:tcW w:w="1728" w:type="dxa"/>
          </w:tcPr>
          <w:p w14:paraId="28AA0B8B" w14:textId="77777777" w:rsidR="00ED7DEB" w:rsidRPr="0048404B" w:rsidRDefault="00C010FC" w:rsidP="00C010FC">
            <w:pPr>
              <w:rPr>
                <w:sz w:val="20"/>
                <w:szCs w:val="20"/>
              </w:rPr>
            </w:pPr>
            <w:r w:rsidRPr="0048404B">
              <w:rPr>
                <w:sz w:val="20"/>
                <w:szCs w:val="20"/>
              </w:rPr>
              <w:t>Personalized Advising Sheet includes two of three first year goals</w:t>
            </w:r>
          </w:p>
        </w:tc>
        <w:tc>
          <w:tcPr>
            <w:tcW w:w="1728" w:type="dxa"/>
          </w:tcPr>
          <w:p w14:paraId="1E898A92" w14:textId="77777777" w:rsidR="00ED7DEB" w:rsidRPr="0048404B" w:rsidRDefault="00C010FC" w:rsidP="00C010FC">
            <w:pPr>
              <w:rPr>
                <w:sz w:val="20"/>
                <w:szCs w:val="20"/>
              </w:rPr>
            </w:pPr>
            <w:r w:rsidRPr="0048404B">
              <w:rPr>
                <w:sz w:val="20"/>
                <w:szCs w:val="20"/>
              </w:rPr>
              <w:t>Personalized Advising Sheet includes one of three first year goals</w:t>
            </w:r>
          </w:p>
        </w:tc>
        <w:tc>
          <w:tcPr>
            <w:tcW w:w="1728" w:type="dxa"/>
          </w:tcPr>
          <w:p w14:paraId="1D95C9EC" w14:textId="77777777" w:rsidR="00ED7DEB" w:rsidRPr="0048404B" w:rsidRDefault="00C010FC" w:rsidP="003F0B2D">
            <w:pPr>
              <w:rPr>
                <w:sz w:val="20"/>
                <w:szCs w:val="20"/>
              </w:rPr>
            </w:pPr>
            <w:r w:rsidRPr="0048404B">
              <w:rPr>
                <w:sz w:val="20"/>
                <w:szCs w:val="20"/>
              </w:rPr>
              <w:t>Personalized Advising Sheet includes none of three first year goals, but does include at least one focus area course</w:t>
            </w:r>
          </w:p>
        </w:tc>
        <w:tc>
          <w:tcPr>
            <w:tcW w:w="1728" w:type="dxa"/>
          </w:tcPr>
          <w:p w14:paraId="16703622" w14:textId="77777777" w:rsidR="00ED7DEB" w:rsidRPr="0048404B" w:rsidRDefault="00C010FC" w:rsidP="00C010FC">
            <w:pPr>
              <w:rPr>
                <w:sz w:val="20"/>
                <w:szCs w:val="20"/>
              </w:rPr>
            </w:pPr>
            <w:r w:rsidRPr="0048404B">
              <w:rPr>
                <w:sz w:val="20"/>
                <w:szCs w:val="20"/>
              </w:rPr>
              <w:t xml:space="preserve">Personalized Advising Sheet includes none of three first year goals </w:t>
            </w:r>
            <w:r w:rsidR="00ED7DEB" w:rsidRPr="0048404B">
              <w:rPr>
                <w:sz w:val="20"/>
                <w:szCs w:val="20"/>
              </w:rPr>
              <w:t>or no Personal Advising Sheet submitted</w:t>
            </w:r>
          </w:p>
        </w:tc>
      </w:tr>
      <w:tr w:rsidR="00C010FC" w14:paraId="6AA2B242" w14:textId="77777777" w:rsidTr="0048404B">
        <w:trPr>
          <w:jc w:val="center"/>
        </w:trPr>
        <w:tc>
          <w:tcPr>
            <w:tcW w:w="1728" w:type="dxa"/>
            <w:shd w:val="clear" w:color="auto" w:fill="D9D9D9" w:themeFill="background1" w:themeFillShade="D9"/>
          </w:tcPr>
          <w:p w14:paraId="55B210B2" w14:textId="77777777" w:rsidR="00ED7DEB" w:rsidRPr="0048404B" w:rsidRDefault="00ED7DEB" w:rsidP="003F0B2D">
            <w:pPr>
              <w:rPr>
                <w:b/>
                <w:sz w:val="19"/>
                <w:szCs w:val="19"/>
              </w:rPr>
            </w:pPr>
            <w:r w:rsidRPr="0048404B">
              <w:rPr>
                <w:b/>
                <w:sz w:val="19"/>
                <w:szCs w:val="19"/>
              </w:rPr>
              <w:t>Personalized Advising Sheet articulates connections between courses and academic goals.</w:t>
            </w:r>
          </w:p>
        </w:tc>
        <w:tc>
          <w:tcPr>
            <w:tcW w:w="1728" w:type="dxa"/>
          </w:tcPr>
          <w:p w14:paraId="2B375109" w14:textId="77777777" w:rsidR="00ED7DEB" w:rsidRPr="0048404B" w:rsidRDefault="00C010FC" w:rsidP="003F0B2D">
            <w:pPr>
              <w:rPr>
                <w:sz w:val="20"/>
                <w:szCs w:val="20"/>
              </w:rPr>
            </w:pPr>
            <w:r w:rsidRPr="0048404B">
              <w:rPr>
                <w:sz w:val="20"/>
                <w:szCs w:val="20"/>
              </w:rPr>
              <w:t xml:space="preserve">There are course value comments for each course and the majority of comments articulate connections between the </w:t>
            </w:r>
            <w:r w:rsidRPr="0048404B">
              <w:rPr>
                <w:sz w:val="20"/>
                <w:szCs w:val="20"/>
              </w:rPr>
              <w:lastRenderedPageBreak/>
              <w:t>course and academic goals</w:t>
            </w:r>
          </w:p>
        </w:tc>
        <w:tc>
          <w:tcPr>
            <w:tcW w:w="1728" w:type="dxa"/>
          </w:tcPr>
          <w:p w14:paraId="042C8DFB" w14:textId="77777777" w:rsidR="00ED7DEB" w:rsidRPr="0048404B" w:rsidRDefault="00C010FC" w:rsidP="003F0B2D">
            <w:pPr>
              <w:rPr>
                <w:sz w:val="20"/>
                <w:szCs w:val="20"/>
              </w:rPr>
            </w:pPr>
            <w:r w:rsidRPr="0048404B">
              <w:rPr>
                <w:sz w:val="20"/>
                <w:szCs w:val="20"/>
              </w:rPr>
              <w:lastRenderedPageBreak/>
              <w:t xml:space="preserve">There are course value comments for each course, but the majority of comments do not clearly articulate the connections between the </w:t>
            </w:r>
            <w:r w:rsidRPr="0048404B">
              <w:rPr>
                <w:sz w:val="20"/>
                <w:szCs w:val="20"/>
              </w:rPr>
              <w:lastRenderedPageBreak/>
              <w:t>course and academic goals.</w:t>
            </w:r>
          </w:p>
        </w:tc>
        <w:tc>
          <w:tcPr>
            <w:tcW w:w="1728" w:type="dxa"/>
          </w:tcPr>
          <w:p w14:paraId="3C4F8324" w14:textId="77777777" w:rsidR="00ED7DEB" w:rsidRPr="0048404B" w:rsidRDefault="00C010FC" w:rsidP="003F0B2D">
            <w:pPr>
              <w:rPr>
                <w:sz w:val="20"/>
                <w:szCs w:val="20"/>
              </w:rPr>
            </w:pPr>
            <w:r w:rsidRPr="0048404B">
              <w:rPr>
                <w:sz w:val="20"/>
                <w:szCs w:val="20"/>
              </w:rPr>
              <w:lastRenderedPageBreak/>
              <w:t xml:space="preserve">Some but not all courses have course value comments, but the majority of comments articulate connections between the </w:t>
            </w:r>
            <w:r w:rsidRPr="0048404B">
              <w:rPr>
                <w:sz w:val="20"/>
                <w:szCs w:val="20"/>
              </w:rPr>
              <w:lastRenderedPageBreak/>
              <w:t>course and academic goals</w:t>
            </w:r>
          </w:p>
        </w:tc>
        <w:tc>
          <w:tcPr>
            <w:tcW w:w="1728" w:type="dxa"/>
          </w:tcPr>
          <w:p w14:paraId="5166D551" w14:textId="77777777" w:rsidR="00ED7DEB" w:rsidRPr="0048404B" w:rsidRDefault="00C010FC" w:rsidP="003F0B2D">
            <w:pPr>
              <w:rPr>
                <w:sz w:val="20"/>
                <w:szCs w:val="20"/>
              </w:rPr>
            </w:pPr>
            <w:r w:rsidRPr="0048404B">
              <w:rPr>
                <w:sz w:val="20"/>
                <w:szCs w:val="20"/>
              </w:rPr>
              <w:lastRenderedPageBreak/>
              <w:t xml:space="preserve">Some but not all courses have course value comments, and the majority of comments do not clearly articulate the connections between the </w:t>
            </w:r>
            <w:r w:rsidRPr="0048404B">
              <w:rPr>
                <w:sz w:val="20"/>
                <w:szCs w:val="20"/>
              </w:rPr>
              <w:lastRenderedPageBreak/>
              <w:t>course and academic goals</w:t>
            </w:r>
          </w:p>
        </w:tc>
        <w:tc>
          <w:tcPr>
            <w:tcW w:w="1728" w:type="dxa"/>
          </w:tcPr>
          <w:p w14:paraId="71126B13" w14:textId="77777777" w:rsidR="00ED7DEB" w:rsidRPr="0048404B" w:rsidRDefault="00C010FC" w:rsidP="003F0B2D">
            <w:pPr>
              <w:rPr>
                <w:sz w:val="20"/>
                <w:szCs w:val="20"/>
              </w:rPr>
            </w:pPr>
            <w:r w:rsidRPr="0048404B">
              <w:rPr>
                <w:sz w:val="20"/>
                <w:szCs w:val="20"/>
              </w:rPr>
              <w:lastRenderedPageBreak/>
              <w:t>No course value comments or No Personalized Advising Sheet Submitted</w:t>
            </w:r>
          </w:p>
        </w:tc>
      </w:tr>
      <w:tr w:rsidR="00C010FC" w14:paraId="3E7A66DE" w14:textId="77777777" w:rsidTr="0048404B">
        <w:trPr>
          <w:jc w:val="center"/>
        </w:trPr>
        <w:tc>
          <w:tcPr>
            <w:tcW w:w="1728" w:type="dxa"/>
            <w:shd w:val="clear" w:color="auto" w:fill="D9D9D9" w:themeFill="background1" w:themeFillShade="D9"/>
          </w:tcPr>
          <w:p w14:paraId="7E9D7FA4" w14:textId="77777777" w:rsidR="00C010FC" w:rsidRPr="0048404B" w:rsidRDefault="00C010FC" w:rsidP="00C010FC">
            <w:pPr>
              <w:rPr>
                <w:b/>
                <w:sz w:val="19"/>
                <w:szCs w:val="19"/>
              </w:rPr>
            </w:pPr>
            <w:r w:rsidRPr="0048404B">
              <w:rPr>
                <w:b/>
                <w:sz w:val="19"/>
                <w:szCs w:val="19"/>
              </w:rPr>
              <w:lastRenderedPageBreak/>
              <w:t xml:space="preserve">Mechanics </w:t>
            </w:r>
          </w:p>
        </w:tc>
        <w:tc>
          <w:tcPr>
            <w:tcW w:w="1728" w:type="dxa"/>
          </w:tcPr>
          <w:p w14:paraId="7B36A578" w14:textId="77777777" w:rsidR="00C010FC" w:rsidRPr="0048404B" w:rsidRDefault="00C010FC" w:rsidP="00C010FC">
            <w:pPr>
              <w:rPr>
                <w:sz w:val="20"/>
                <w:szCs w:val="20"/>
              </w:rPr>
            </w:pPr>
            <w:r w:rsidRPr="0048404B">
              <w:rPr>
                <w:sz w:val="20"/>
                <w:szCs w:val="20"/>
              </w:rPr>
              <w:t>2 or fewer spelling, grammar or punctuation errors</w:t>
            </w:r>
          </w:p>
        </w:tc>
        <w:tc>
          <w:tcPr>
            <w:tcW w:w="1728" w:type="dxa"/>
          </w:tcPr>
          <w:p w14:paraId="7A76E633" w14:textId="77777777" w:rsidR="00C010FC" w:rsidRPr="0048404B" w:rsidRDefault="00C010FC" w:rsidP="00C010FC">
            <w:pPr>
              <w:rPr>
                <w:sz w:val="20"/>
                <w:szCs w:val="20"/>
              </w:rPr>
            </w:pPr>
            <w:r w:rsidRPr="0048404B">
              <w:rPr>
                <w:sz w:val="20"/>
                <w:szCs w:val="20"/>
              </w:rPr>
              <w:t>3-5 spelling, grammar or punctuation errors</w:t>
            </w:r>
          </w:p>
        </w:tc>
        <w:tc>
          <w:tcPr>
            <w:tcW w:w="1728" w:type="dxa"/>
          </w:tcPr>
          <w:p w14:paraId="3E6A2B3D" w14:textId="77777777" w:rsidR="00C010FC" w:rsidRPr="0048404B" w:rsidRDefault="00C010FC" w:rsidP="00C010FC">
            <w:pPr>
              <w:rPr>
                <w:sz w:val="20"/>
                <w:szCs w:val="20"/>
              </w:rPr>
            </w:pPr>
            <w:r w:rsidRPr="0048404B">
              <w:rPr>
                <w:sz w:val="20"/>
                <w:szCs w:val="20"/>
              </w:rPr>
              <w:t>6-10 spelling, grammar or punctuation errors</w:t>
            </w:r>
          </w:p>
        </w:tc>
        <w:tc>
          <w:tcPr>
            <w:tcW w:w="1728" w:type="dxa"/>
          </w:tcPr>
          <w:p w14:paraId="0A098E9E" w14:textId="77777777" w:rsidR="00C010FC" w:rsidRPr="0048404B" w:rsidRDefault="00C010FC" w:rsidP="00C010FC">
            <w:pPr>
              <w:rPr>
                <w:sz w:val="20"/>
                <w:szCs w:val="20"/>
              </w:rPr>
            </w:pPr>
            <w:r w:rsidRPr="0048404B">
              <w:rPr>
                <w:sz w:val="20"/>
                <w:szCs w:val="20"/>
              </w:rPr>
              <w:t>11-20 spelling, grammar or punctuation errors</w:t>
            </w:r>
          </w:p>
        </w:tc>
        <w:tc>
          <w:tcPr>
            <w:tcW w:w="1728" w:type="dxa"/>
          </w:tcPr>
          <w:p w14:paraId="2BB0F381" w14:textId="77777777" w:rsidR="00C010FC" w:rsidRPr="0048404B" w:rsidRDefault="00C010FC" w:rsidP="00C010FC">
            <w:pPr>
              <w:rPr>
                <w:sz w:val="20"/>
                <w:szCs w:val="20"/>
              </w:rPr>
            </w:pPr>
            <w:r w:rsidRPr="0048404B">
              <w:rPr>
                <w:sz w:val="20"/>
                <w:szCs w:val="20"/>
              </w:rPr>
              <w:t>More than 20 spelling, grammar or punctuation errors or no writing to evaluate</w:t>
            </w:r>
          </w:p>
        </w:tc>
      </w:tr>
    </w:tbl>
    <w:p w14:paraId="78C925AA" w14:textId="77777777" w:rsidR="00C7609D" w:rsidRDefault="00C7609D"/>
    <w:sectPr w:rsidR="00C7609D" w:rsidSect="004840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E0378"/>
    <w:multiLevelType w:val="hybridMultilevel"/>
    <w:tmpl w:val="35E6379E"/>
    <w:lvl w:ilvl="0" w:tplc="0EAA0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EB"/>
    <w:rsid w:val="000B0DF6"/>
    <w:rsid w:val="00102613"/>
    <w:rsid w:val="001B50BF"/>
    <w:rsid w:val="002E6C98"/>
    <w:rsid w:val="00313ED4"/>
    <w:rsid w:val="0048404B"/>
    <w:rsid w:val="006E0089"/>
    <w:rsid w:val="00C010FC"/>
    <w:rsid w:val="00C7609D"/>
    <w:rsid w:val="00ED7DEB"/>
    <w:rsid w:val="00F5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200C"/>
  <w15:chartTrackingRefBased/>
  <w15:docId w15:val="{AAFF7EBD-20BB-4566-9435-9A8437ED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 Normal"/>
    <w:qFormat/>
    <w:rsid w:val="00ED7DEB"/>
    <w:pPr>
      <w:spacing w:after="160" w:line="259" w:lineRule="auto"/>
    </w:pPr>
    <w:rPr>
      <w:rFonts w:eastAsiaTheme="minorHAnsi"/>
    </w:rPr>
  </w:style>
  <w:style w:type="paragraph" w:styleId="Heading1">
    <w:name w:val="heading 1"/>
    <w:aliases w:val="R Heading 1"/>
    <w:basedOn w:val="Normal"/>
    <w:next w:val="Normal"/>
    <w:link w:val="Heading1Char"/>
    <w:autoRedefine/>
    <w:uiPriority w:val="9"/>
    <w:qFormat/>
    <w:rsid w:val="000B0DF6"/>
    <w:pPr>
      <w:keepNext/>
      <w:keepLines/>
      <w:spacing w:before="240"/>
      <w:outlineLvl w:val="0"/>
    </w:pPr>
    <w:rPr>
      <w:rFonts w:asciiTheme="majorHAnsi" w:eastAsiaTheme="majorEastAsia" w:hAnsiTheme="majorHAnsi" w:cstheme="majorBidi"/>
      <w:b/>
      <w:sz w:val="32"/>
      <w:szCs w:val="32"/>
    </w:rPr>
  </w:style>
  <w:style w:type="paragraph" w:styleId="Heading2">
    <w:name w:val="heading 2"/>
    <w:aliases w:val="R Heading 2"/>
    <w:basedOn w:val="Normal"/>
    <w:next w:val="Normal"/>
    <w:link w:val="Heading2Char"/>
    <w:autoRedefine/>
    <w:uiPriority w:val="9"/>
    <w:unhideWhenUsed/>
    <w:qFormat/>
    <w:rsid w:val="000B0DF6"/>
    <w:pPr>
      <w:keepNext/>
      <w:keepLines/>
      <w:spacing w:before="40"/>
      <w:outlineLvl w:val="1"/>
    </w:pPr>
    <w:rPr>
      <w:rFonts w:asciiTheme="majorHAnsi" w:eastAsiaTheme="majorEastAsia" w:hAnsiTheme="majorHAnsi" w:cstheme="majorBidi"/>
      <w:b/>
      <w:sz w:val="26"/>
      <w:szCs w:val="26"/>
    </w:rPr>
  </w:style>
  <w:style w:type="paragraph" w:styleId="Heading3">
    <w:name w:val="heading 3"/>
    <w:aliases w:val="R Heading 3"/>
    <w:basedOn w:val="Normal"/>
    <w:next w:val="Normal"/>
    <w:link w:val="Heading3Char"/>
    <w:autoRedefine/>
    <w:uiPriority w:val="9"/>
    <w:unhideWhenUsed/>
    <w:qFormat/>
    <w:rsid w:val="000B0DF6"/>
    <w:pPr>
      <w:keepNext/>
      <w:keepLines/>
      <w:spacing w:before="40"/>
      <w:outlineLvl w:val="2"/>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 Heading 2 Char"/>
    <w:basedOn w:val="DefaultParagraphFont"/>
    <w:link w:val="Heading2"/>
    <w:uiPriority w:val="9"/>
    <w:rsid w:val="000B0DF6"/>
    <w:rPr>
      <w:rFonts w:asciiTheme="majorHAnsi" w:eastAsiaTheme="majorEastAsia" w:hAnsiTheme="majorHAnsi" w:cstheme="majorBidi"/>
      <w:b/>
      <w:sz w:val="26"/>
      <w:szCs w:val="26"/>
    </w:rPr>
  </w:style>
  <w:style w:type="character" w:customStyle="1" w:styleId="Heading3Char">
    <w:name w:val="Heading 3 Char"/>
    <w:aliases w:val="R Heading 3 Char"/>
    <w:basedOn w:val="DefaultParagraphFont"/>
    <w:link w:val="Heading3"/>
    <w:uiPriority w:val="9"/>
    <w:rsid w:val="000B0DF6"/>
    <w:rPr>
      <w:rFonts w:asciiTheme="majorHAnsi" w:eastAsiaTheme="majorEastAsia" w:hAnsiTheme="majorHAnsi" w:cstheme="majorBidi"/>
      <w:b/>
      <w:sz w:val="24"/>
      <w:szCs w:val="24"/>
    </w:rPr>
  </w:style>
  <w:style w:type="paragraph" w:styleId="ListParagraph">
    <w:name w:val="List Paragraph"/>
    <w:aliases w:val="R List Paragraph"/>
    <w:basedOn w:val="Normal"/>
    <w:autoRedefine/>
    <w:uiPriority w:val="34"/>
    <w:qFormat/>
    <w:rsid w:val="000B0DF6"/>
    <w:pPr>
      <w:ind w:left="720"/>
      <w:contextualSpacing/>
    </w:pPr>
  </w:style>
  <w:style w:type="character" w:customStyle="1" w:styleId="Heading1Char">
    <w:name w:val="Heading 1 Char"/>
    <w:aliases w:val="R Heading 1 Char"/>
    <w:basedOn w:val="DefaultParagraphFont"/>
    <w:link w:val="Heading1"/>
    <w:uiPriority w:val="9"/>
    <w:rsid w:val="000B0DF6"/>
    <w:rPr>
      <w:rFonts w:asciiTheme="majorHAnsi" w:eastAsiaTheme="majorEastAsia" w:hAnsiTheme="majorHAnsi" w:cstheme="majorBidi"/>
      <w:b/>
      <w:sz w:val="32"/>
      <w:szCs w:val="32"/>
    </w:rPr>
  </w:style>
  <w:style w:type="table" w:styleId="TableGrid">
    <w:name w:val="Table Grid"/>
    <w:basedOn w:val="TableNormal"/>
    <w:uiPriority w:val="59"/>
    <w:rsid w:val="00ED7DE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7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sc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 Jessica</dc:creator>
  <cp:keywords/>
  <dc:description/>
  <cp:lastModifiedBy>Microsoft Office User</cp:lastModifiedBy>
  <cp:revision>2</cp:revision>
  <dcterms:created xsi:type="dcterms:W3CDTF">2018-04-25T16:13:00Z</dcterms:created>
  <dcterms:modified xsi:type="dcterms:W3CDTF">2018-04-25T16:13:00Z</dcterms:modified>
</cp:coreProperties>
</file>