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E8" w:rsidRDefault="00383EE8"/>
    <w:p w:rsidR="009A4451" w:rsidRDefault="009A4451">
      <w:r w:rsidRPr="009A4451">
        <w:rPr>
          <w:b/>
          <w:sz w:val="36"/>
          <w:szCs w:val="36"/>
        </w:rPr>
        <w:t>Syllabus Checklist</w:t>
      </w:r>
      <w:r>
        <w:rPr>
          <w:sz w:val="36"/>
          <w:szCs w:val="36"/>
        </w:rPr>
        <w:br/>
      </w:r>
      <w:r>
        <w:rPr>
          <w:sz w:val="24"/>
          <w:szCs w:val="24"/>
        </w:rPr>
        <w:t xml:space="preserve">For more information, see: </w:t>
      </w:r>
      <w:hyperlink r:id="rId7" w:history="1">
        <w:r>
          <w:rPr>
            <w:rStyle w:val="Hyperlink"/>
          </w:rPr>
          <w:t>http://ww2.nscc.edu/theteachingcenter/resourc</w:t>
        </w:r>
        <w:r>
          <w:rPr>
            <w:rStyle w:val="Hyperlink"/>
          </w:rPr>
          <w:t>e</w:t>
        </w:r>
        <w:r>
          <w:rPr>
            <w:rStyle w:val="Hyperlink"/>
          </w:rPr>
          <w:t>s/nscc-resources/</w:t>
        </w:r>
      </w:hyperlink>
      <w:r>
        <w:t>.</w:t>
      </w:r>
    </w:p>
    <w:p w:rsidR="009A4451" w:rsidRPr="00E25E67" w:rsidRDefault="009A4451">
      <w:pPr>
        <w:rPr>
          <w:b/>
          <w:sz w:val="28"/>
          <w:szCs w:val="28"/>
        </w:rPr>
      </w:pPr>
      <w:r w:rsidRPr="00E25E67">
        <w:rPr>
          <w:b/>
          <w:sz w:val="28"/>
          <w:szCs w:val="28"/>
        </w:rPr>
        <w:t>The Master Syllabus requires you include:</w:t>
      </w:r>
    </w:p>
    <w:p w:rsidR="009A4451" w:rsidRDefault="009A4451" w:rsidP="009A4451">
      <w:pPr>
        <w:pStyle w:val="ListParagraph"/>
        <w:numPr>
          <w:ilvl w:val="0"/>
          <w:numId w:val="1"/>
        </w:numPr>
        <w:rPr>
          <w:sz w:val="28"/>
          <w:szCs w:val="28"/>
        </w:rPr>
      </w:pPr>
      <w:r>
        <w:rPr>
          <w:sz w:val="28"/>
          <w:szCs w:val="28"/>
        </w:rPr>
        <w:t>Contact information for the instructor(s), including e-mail.</w:t>
      </w:r>
    </w:p>
    <w:p w:rsidR="009A4451" w:rsidRDefault="009A4451" w:rsidP="009A4451">
      <w:pPr>
        <w:pStyle w:val="ListParagraph"/>
        <w:numPr>
          <w:ilvl w:val="0"/>
          <w:numId w:val="1"/>
        </w:numPr>
        <w:rPr>
          <w:sz w:val="28"/>
          <w:szCs w:val="28"/>
        </w:rPr>
      </w:pPr>
      <w:r>
        <w:rPr>
          <w:sz w:val="28"/>
          <w:szCs w:val="28"/>
        </w:rPr>
        <w:t>Course description that explains the course’s scope and purpose, format (e.g. lab, studio, lecture, etc.) and relevance to the students’ academic and professional goals.</w:t>
      </w:r>
    </w:p>
    <w:p w:rsidR="009A4451" w:rsidRDefault="009A4451" w:rsidP="009A4451">
      <w:pPr>
        <w:pStyle w:val="ListParagraph"/>
        <w:numPr>
          <w:ilvl w:val="0"/>
          <w:numId w:val="1"/>
        </w:numPr>
        <w:rPr>
          <w:sz w:val="28"/>
          <w:szCs w:val="28"/>
        </w:rPr>
      </w:pPr>
      <w:r>
        <w:rPr>
          <w:sz w:val="28"/>
          <w:szCs w:val="28"/>
        </w:rPr>
        <w:t xml:space="preserve">List of learning resources and whether they are required or supplementary (textbooks, software, calculator, etc.) </w:t>
      </w:r>
    </w:p>
    <w:p w:rsidR="009A4451" w:rsidRDefault="009A4451" w:rsidP="009A4451">
      <w:pPr>
        <w:pStyle w:val="ListParagraph"/>
        <w:numPr>
          <w:ilvl w:val="0"/>
          <w:numId w:val="1"/>
        </w:numPr>
        <w:rPr>
          <w:sz w:val="28"/>
          <w:szCs w:val="28"/>
        </w:rPr>
      </w:pPr>
      <w:r>
        <w:rPr>
          <w:sz w:val="28"/>
          <w:szCs w:val="28"/>
        </w:rPr>
        <w:t>Course-level learning objectives that state what students should be able to do by the end of the course</w:t>
      </w:r>
      <w:r w:rsidR="00383EE8">
        <w:rPr>
          <w:sz w:val="28"/>
          <w:szCs w:val="28"/>
        </w:rPr>
        <w:t xml:space="preserve"> (including course outcomes and topics covered</w:t>
      </w:r>
      <w:r>
        <w:rPr>
          <w:sz w:val="28"/>
          <w:szCs w:val="28"/>
        </w:rPr>
        <w:t>.</w:t>
      </w:r>
      <w:r w:rsidR="00383EE8">
        <w:rPr>
          <w:sz w:val="28"/>
          <w:szCs w:val="28"/>
        </w:rPr>
        <w:t>)</w:t>
      </w:r>
    </w:p>
    <w:p w:rsidR="009A4451" w:rsidRDefault="009A4451" w:rsidP="009A4451">
      <w:pPr>
        <w:pStyle w:val="ListParagraph"/>
        <w:numPr>
          <w:ilvl w:val="0"/>
          <w:numId w:val="1"/>
        </w:numPr>
        <w:rPr>
          <w:sz w:val="28"/>
          <w:szCs w:val="28"/>
        </w:rPr>
      </w:pPr>
      <w:r>
        <w:rPr>
          <w:sz w:val="28"/>
          <w:szCs w:val="28"/>
        </w:rPr>
        <w:t>Description of major assessments and how they contribute to the final grade.</w:t>
      </w:r>
    </w:p>
    <w:p w:rsidR="00383EE8" w:rsidRDefault="00383EE8" w:rsidP="009A4451">
      <w:pPr>
        <w:pStyle w:val="ListParagraph"/>
        <w:numPr>
          <w:ilvl w:val="0"/>
          <w:numId w:val="1"/>
        </w:numPr>
        <w:rPr>
          <w:sz w:val="28"/>
          <w:szCs w:val="28"/>
        </w:rPr>
      </w:pPr>
      <w:r>
        <w:rPr>
          <w:sz w:val="28"/>
          <w:szCs w:val="28"/>
        </w:rPr>
        <w:t>Grading scale (including percentage credit or number of points corresponding to each letter grade.)</w:t>
      </w:r>
    </w:p>
    <w:p w:rsidR="009A4451" w:rsidRDefault="009A4451" w:rsidP="009A4451">
      <w:pPr>
        <w:pStyle w:val="ListParagraph"/>
        <w:numPr>
          <w:ilvl w:val="0"/>
          <w:numId w:val="1"/>
        </w:numPr>
        <w:rPr>
          <w:sz w:val="28"/>
          <w:szCs w:val="28"/>
        </w:rPr>
      </w:pPr>
      <w:r>
        <w:rPr>
          <w:sz w:val="28"/>
          <w:szCs w:val="28"/>
        </w:rPr>
        <w:t xml:space="preserve">Statements and policies that clearly communication your expectations regarding: </w:t>
      </w:r>
    </w:p>
    <w:p w:rsidR="009A4451" w:rsidRDefault="009A4451" w:rsidP="009A4451">
      <w:pPr>
        <w:pStyle w:val="ListParagraph"/>
        <w:numPr>
          <w:ilvl w:val="1"/>
          <w:numId w:val="1"/>
        </w:numPr>
        <w:rPr>
          <w:sz w:val="28"/>
          <w:szCs w:val="28"/>
        </w:rPr>
      </w:pPr>
      <w:r>
        <w:rPr>
          <w:sz w:val="28"/>
          <w:szCs w:val="28"/>
        </w:rPr>
        <w:t>Attendance</w:t>
      </w:r>
      <w:r w:rsidR="00383EE8">
        <w:rPr>
          <w:sz w:val="28"/>
          <w:szCs w:val="28"/>
        </w:rPr>
        <w:t xml:space="preserve"> and </w:t>
      </w:r>
      <w:proofErr w:type="spellStart"/>
      <w:r w:rsidR="00383EE8">
        <w:rPr>
          <w:sz w:val="28"/>
          <w:szCs w:val="28"/>
        </w:rPr>
        <w:t>tardies</w:t>
      </w:r>
      <w:proofErr w:type="spellEnd"/>
    </w:p>
    <w:p w:rsidR="009A4451" w:rsidRDefault="009A4451" w:rsidP="009A4451">
      <w:pPr>
        <w:pStyle w:val="ListParagraph"/>
        <w:numPr>
          <w:ilvl w:val="1"/>
          <w:numId w:val="1"/>
        </w:numPr>
        <w:rPr>
          <w:sz w:val="28"/>
          <w:szCs w:val="28"/>
        </w:rPr>
      </w:pPr>
      <w:r>
        <w:rPr>
          <w:sz w:val="28"/>
          <w:szCs w:val="28"/>
        </w:rPr>
        <w:t>Academic Integrity, including plagiarism</w:t>
      </w:r>
    </w:p>
    <w:p w:rsidR="00383EE8" w:rsidRPr="00383EE8" w:rsidRDefault="009A4451" w:rsidP="00383EE8">
      <w:pPr>
        <w:pStyle w:val="ListParagraph"/>
        <w:numPr>
          <w:ilvl w:val="1"/>
          <w:numId w:val="1"/>
        </w:numPr>
        <w:rPr>
          <w:sz w:val="28"/>
          <w:szCs w:val="28"/>
        </w:rPr>
      </w:pPr>
      <w:r>
        <w:rPr>
          <w:sz w:val="28"/>
          <w:szCs w:val="28"/>
        </w:rPr>
        <w:t>Late/make-up work</w:t>
      </w:r>
    </w:p>
    <w:p w:rsidR="009A4451" w:rsidRDefault="009A4451" w:rsidP="009A4451">
      <w:pPr>
        <w:pStyle w:val="ListParagraph"/>
        <w:numPr>
          <w:ilvl w:val="0"/>
          <w:numId w:val="1"/>
        </w:numPr>
        <w:rPr>
          <w:sz w:val="28"/>
          <w:szCs w:val="28"/>
        </w:rPr>
      </w:pPr>
      <w:r>
        <w:rPr>
          <w:sz w:val="28"/>
          <w:szCs w:val="28"/>
        </w:rPr>
        <w:t>NSCC statements and policies including:</w:t>
      </w:r>
      <w:bookmarkStart w:id="0" w:name="_GoBack"/>
      <w:bookmarkEnd w:id="0"/>
    </w:p>
    <w:p w:rsidR="009A4451" w:rsidRDefault="009A4451" w:rsidP="009A4451">
      <w:pPr>
        <w:pStyle w:val="ListParagraph"/>
        <w:numPr>
          <w:ilvl w:val="1"/>
          <w:numId w:val="1"/>
        </w:numPr>
        <w:rPr>
          <w:sz w:val="28"/>
          <w:szCs w:val="28"/>
        </w:rPr>
      </w:pPr>
      <w:r>
        <w:rPr>
          <w:sz w:val="28"/>
          <w:szCs w:val="28"/>
        </w:rPr>
        <w:t>Academic Misconduct</w:t>
      </w:r>
    </w:p>
    <w:p w:rsidR="009A4451" w:rsidRDefault="009A4451" w:rsidP="009A4451">
      <w:pPr>
        <w:pStyle w:val="ListParagraph"/>
        <w:numPr>
          <w:ilvl w:val="1"/>
          <w:numId w:val="1"/>
        </w:numPr>
        <w:rPr>
          <w:sz w:val="28"/>
          <w:szCs w:val="28"/>
        </w:rPr>
      </w:pPr>
      <w:r>
        <w:rPr>
          <w:sz w:val="28"/>
          <w:szCs w:val="28"/>
        </w:rPr>
        <w:t>Classroom Misconduct</w:t>
      </w:r>
    </w:p>
    <w:p w:rsidR="009A4451" w:rsidRDefault="009A4451" w:rsidP="009A4451">
      <w:pPr>
        <w:pStyle w:val="ListParagraph"/>
        <w:numPr>
          <w:ilvl w:val="1"/>
          <w:numId w:val="1"/>
        </w:numPr>
        <w:rPr>
          <w:sz w:val="28"/>
          <w:szCs w:val="28"/>
        </w:rPr>
      </w:pPr>
      <w:r w:rsidRPr="009A4451">
        <w:rPr>
          <w:sz w:val="28"/>
          <w:szCs w:val="28"/>
        </w:rPr>
        <w:t>Academic Early Alert System</w:t>
      </w:r>
    </w:p>
    <w:p w:rsidR="009A4451" w:rsidRDefault="009A4451" w:rsidP="009A4451">
      <w:pPr>
        <w:pStyle w:val="ListParagraph"/>
        <w:numPr>
          <w:ilvl w:val="1"/>
          <w:numId w:val="1"/>
        </w:numPr>
        <w:rPr>
          <w:sz w:val="28"/>
          <w:szCs w:val="28"/>
        </w:rPr>
      </w:pPr>
      <w:r w:rsidRPr="009A4451">
        <w:rPr>
          <w:sz w:val="28"/>
          <w:szCs w:val="28"/>
        </w:rPr>
        <w:t>D2L/NS Online/</w:t>
      </w:r>
      <w:proofErr w:type="spellStart"/>
      <w:r w:rsidRPr="009A4451">
        <w:rPr>
          <w:sz w:val="28"/>
          <w:szCs w:val="28"/>
        </w:rPr>
        <w:t>myNSCC</w:t>
      </w:r>
      <w:proofErr w:type="spellEnd"/>
    </w:p>
    <w:p w:rsidR="009A4451" w:rsidRDefault="009A4451" w:rsidP="009A4451">
      <w:pPr>
        <w:pStyle w:val="ListParagraph"/>
        <w:numPr>
          <w:ilvl w:val="1"/>
          <w:numId w:val="1"/>
        </w:numPr>
        <w:rPr>
          <w:sz w:val="28"/>
          <w:szCs w:val="28"/>
        </w:rPr>
      </w:pPr>
      <w:r w:rsidRPr="009A4451">
        <w:rPr>
          <w:sz w:val="28"/>
          <w:szCs w:val="28"/>
        </w:rPr>
        <w:t>ADA Compliance Statement</w:t>
      </w:r>
    </w:p>
    <w:p w:rsidR="009A4451" w:rsidRDefault="009A4451" w:rsidP="009A4451">
      <w:pPr>
        <w:pStyle w:val="ListParagraph"/>
        <w:numPr>
          <w:ilvl w:val="1"/>
          <w:numId w:val="1"/>
        </w:numPr>
        <w:rPr>
          <w:sz w:val="28"/>
          <w:szCs w:val="28"/>
        </w:rPr>
      </w:pPr>
      <w:r>
        <w:rPr>
          <w:sz w:val="28"/>
          <w:szCs w:val="28"/>
        </w:rPr>
        <w:t>Technology Statement</w:t>
      </w:r>
    </w:p>
    <w:p w:rsidR="009A4451" w:rsidRDefault="009A4451" w:rsidP="009A4451">
      <w:pPr>
        <w:pStyle w:val="ListParagraph"/>
        <w:numPr>
          <w:ilvl w:val="1"/>
          <w:numId w:val="1"/>
        </w:numPr>
        <w:rPr>
          <w:sz w:val="28"/>
          <w:szCs w:val="28"/>
        </w:rPr>
      </w:pPr>
      <w:r>
        <w:rPr>
          <w:sz w:val="28"/>
          <w:szCs w:val="28"/>
        </w:rPr>
        <w:t>Rave Emergency Alert</w:t>
      </w:r>
    </w:p>
    <w:p w:rsidR="009A4451" w:rsidRDefault="009A4451" w:rsidP="009A4451">
      <w:pPr>
        <w:pStyle w:val="ListParagraph"/>
        <w:numPr>
          <w:ilvl w:val="1"/>
          <w:numId w:val="1"/>
        </w:numPr>
        <w:rPr>
          <w:sz w:val="28"/>
          <w:szCs w:val="28"/>
        </w:rPr>
      </w:pPr>
      <w:r w:rsidRPr="009A4451">
        <w:rPr>
          <w:sz w:val="28"/>
          <w:szCs w:val="28"/>
        </w:rPr>
        <w:t>Inclement Weather and Campus Closings</w:t>
      </w:r>
    </w:p>
    <w:p w:rsidR="009A4451" w:rsidRDefault="009A4451" w:rsidP="009A4451">
      <w:pPr>
        <w:pStyle w:val="ListParagraph"/>
        <w:numPr>
          <w:ilvl w:val="1"/>
          <w:numId w:val="1"/>
        </w:numPr>
        <w:rPr>
          <w:sz w:val="28"/>
          <w:szCs w:val="28"/>
        </w:rPr>
      </w:pPr>
      <w:r w:rsidRPr="009A4451">
        <w:rPr>
          <w:sz w:val="28"/>
          <w:szCs w:val="28"/>
        </w:rPr>
        <w:t>Class Cancellation Policy</w:t>
      </w:r>
    </w:p>
    <w:p w:rsidR="009A4451" w:rsidRDefault="00383EE8" w:rsidP="009A4451">
      <w:pPr>
        <w:pStyle w:val="ListParagraph"/>
        <w:numPr>
          <w:ilvl w:val="0"/>
          <w:numId w:val="1"/>
        </w:numPr>
        <w:rPr>
          <w:sz w:val="28"/>
          <w:szCs w:val="28"/>
        </w:rPr>
      </w:pPr>
      <w:r>
        <w:rPr>
          <w:sz w:val="28"/>
          <w:szCs w:val="28"/>
        </w:rPr>
        <w:t>Expected Semester Schedule</w:t>
      </w:r>
    </w:p>
    <w:p w:rsidR="00E25E67" w:rsidRDefault="00E25E67">
      <w:pPr>
        <w:rPr>
          <w:sz w:val="28"/>
          <w:szCs w:val="28"/>
        </w:rPr>
      </w:pPr>
      <w:r>
        <w:rPr>
          <w:sz w:val="28"/>
          <w:szCs w:val="28"/>
        </w:rPr>
        <w:br w:type="page"/>
      </w:r>
    </w:p>
    <w:p w:rsidR="00383EE8" w:rsidRDefault="00383EE8" w:rsidP="00383EE8">
      <w:pPr>
        <w:rPr>
          <w:sz w:val="28"/>
          <w:szCs w:val="28"/>
        </w:rPr>
      </w:pPr>
    </w:p>
    <w:p w:rsidR="00383EE8" w:rsidRPr="00E25E67" w:rsidRDefault="00383EE8" w:rsidP="00383EE8">
      <w:pPr>
        <w:rPr>
          <w:b/>
          <w:sz w:val="28"/>
          <w:szCs w:val="28"/>
        </w:rPr>
      </w:pPr>
      <w:r w:rsidRPr="00E25E67">
        <w:rPr>
          <w:b/>
          <w:sz w:val="28"/>
          <w:szCs w:val="28"/>
        </w:rPr>
        <w:t>The Teaching CENTER recommends that you</w:t>
      </w:r>
      <w:r w:rsidR="00E25E67" w:rsidRPr="00E25E67">
        <w:rPr>
          <w:b/>
          <w:sz w:val="28"/>
          <w:szCs w:val="28"/>
        </w:rPr>
        <w:t xml:space="preserve"> also</w:t>
      </w:r>
      <w:r w:rsidRPr="00E25E67">
        <w:rPr>
          <w:b/>
          <w:sz w:val="28"/>
          <w:szCs w:val="28"/>
        </w:rPr>
        <w:t xml:space="preserve"> include: </w:t>
      </w:r>
    </w:p>
    <w:p w:rsidR="00383EE8" w:rsidRDefault="00383EE8" w:rsidP="00383EE8">
      <w:pPr>
        <w:pStyle w:val="ListParagraph"/>
        <w:numPr>
          <w:ilvl w:val="0"/>
          <w:numId w:val="2"/>
        </w:numPr>
        <w:rPr>
          <w:sz w:val="28"/>
          <w:szCs w:val="28"/>
        </w:rPr>
      </w:pPr>
      <w:r>
        <w:rPr>
          <w:sz w:val="28"/>
          <w:szCs w:val="28"/>
        </w:rPr>
        <w:t>Statements and policies that clearly communicate your expectations regarding:</w:t>
      </w:r>
    </w:p>
    <w:p w:rsidR="00383EE8" w:rsidRDefault="00383EE8" w:rsidP="00383EE8">
      <w:pPr>
        <w:pStyle w:val="ListParagraph"/>
        <w:numPr>
          <w:ilvl w:val="1"/>
          <w:numId w:val="2"/>
        </w:numPr>
        <w:rPr>
          <w:sz w:val="28"/>
          <w:szCs w:val="28"/>
        </w:rPr>
      </w:pPr>
      <w:r>
        <w:rPr>
          <w:sz w:val="28"/>
          <w:szCs w:val="28"/>
        </w:rPr>
        <w:t>Participation</w:t>
      </w:r>
    </w:p>
    <w:p w:rsidR="00383EE8" w:rsidRDefault="00383EE8" w:rsidP="00383EE8">
      <w:pPr>
        <w:pStyle w:val="ListParagraph"/>
        <w:numPr>
          <w:ilvl w:val="1"/>
          <w:numId w:val="2"/>
        </w:numPr>
        <w:rPr>
          <w:sz w:val="28"/>
          <w:szCs w:val="28"/>
        </w:rPr>
      </w:pPr>
      <w:r>
        <w:rPr>
          <w:sz w:val="28"/>
          <w:szCs w:val="28"/>
        </w:rPr>
        <w:t>Re-grading</w:t>
      </w:r>
    </w:p>
    <w:p w:rsidR="00383EE8" w:rsidRDefault="00383EE8" w:rsidP="00383EE8">
      <w:pPr>
        <w:pStyle w:val="ListParagraph"/>
        <w:numPr>
          <w:ilvl w:val="1"/>
          <w:numId w:val="2"/>
        </w:numPr>
        <w:rPr>
          <w:sz w:val="28"/>
          <w:szCs w:val="28"/>
        </w:rPr>
      </w:pPr>
      <w:r>
        <w:rPr>
          <w:sz w:val="28"/>
          <w:szCs w:val="28"/>
        </w:rPr>
        <w:t>Use of Mobile Devices</w:t>
      </w:r>
    </w:p>
    <w:p w:rsidR="00383EE8" w:rsidRDefault="00383EE8" w:rsidP="00383EE8">
      <w:pPr>
        <w:pStyle w:val="ListParagraph"/>
        <w:numPr>
          <w:ilvl w:val="1"/>
          <w:numId w:val="2"/>
        </w:numPr>
        <w:rPr>
          <w:sz w:val="28"/>
          <w:szCs w:val="28"/>
        </w:rPr>
      </w:pPr>
      <w:r>
        <w:rPr>
          <w:sz w:val="28"/>
          <w:szCs w:val="28"/>
        </w:rPr>
        <w:t>Use of Computers, tablets, and other electronic devices</w:t>
      </w:r>
    </w:p>
    <w:p w:rsidR="00383EE8" w:rsidRDefault="00383EE8" w:rsidP="00383EE8">
      <w:pPr>
        <w:pStyle w:val="ListParagraph"/>
        <w:numPr>
          <w:ilvl w:val="1"/>
          <w:numId w:val="2"/>
        </w:numPr>
        <w:rPr>
          <w:sz w:val="28"/>
          <w:szCs w:val="28"/>
        </w:rPr>
      </w:pPr>
      <w:r>
        <w:rPr>
          <w:sz w:val="28"/>
          <w:szCs w:val="28"/>
        </w:rPr>
        <w:t>Student recording of class</w:t>
      </w:r>
    </w:p>
    <w:p w:rsidR="00383EE8" w:rsidRDefault="00383EE8" w:rsidP="00383EE8">
      <w:pPr>
        <w:pStyle w:val="ListParagraph"/>
        <w:numPr>
          <w:ilvl w:val="0"/>
          <w:numId w:val="2"/>
        </w:numPr>
        <w:rPr>
          <w:sz w:val="28"/>
          <w:szCs w:val="28"/>
        </w:rPr>
      </w:pPr>
      <w:r>
        <w:rPr>
          <w:sz w:val="28"/>
          <w:szCs w:val="28"/>
        </w:rPr>
        <w:t xml:space="preserve">Detailed </w:t>
      </w:r>
      <w:r w:rsidR="00E25E67">
        <w:rPr>
          <w:sz w:val="28"/>
          <w:szCs w:val="28"/>
        </w:rPr>
        <w:t>descriptions of consequences for Academic Misconduct and Classroom Misconduct</w:t>
      </w:r>
    </w:p>
    <w:p w:rsidR="00383EE8" w:rsidRDefault="00383EE8" w:rsidP="00383EE8">
      <w:pPr>
        <w:pStyle w:val="ListParagraph"/>
        <w:numPr>
          <w:ilvl w:val="0"/>
          <w:numId w:val="2"/>
        </w:numPr>
        <w:rPr>
          <w:sz w:val="28"/>
          <w:szCs w:val="28"/>
        </w:rPr>
      </w:pPr>
      <w:r>
        <w:rPr>
          <w:sz w:val="28"/>
          <w:szCs w:val="28"/>
        </w:rPr>
        <w:t>Study tips that could help increase students’ success in your course.</w:t>
      </w:r>
    </w:p>
    <w:p w:rsidR="00E25E67" w:rsidRDefault="00E25E67" w:rsidP="00E25E67">
      <w:pPr>
        <w:pStyle w:val="ListParagraph"/>
        <w:numPr>
          <w:ilvl w:val="0"/>
          <w:numId w:val="2"/>
        </w:numPr>
        <w:rPr>
          <w:sz w:val="28"/>
          <w:szCs w:val="28"/>
        </w:rPr>
      </w:pPr>
      <w:r>
        <w:rPr>
          <w:sz w:val="28"/>
          <w:szCs w:val="28"/>
        </w:rPr>
        <w:t>Policy regarding extra credit and how extra credit may be earned, if allowed.</w:t>
      </w:r>
    </w:p>
    <w:p w:rsidR="00E25E67" w:rsidRDefault="00E25E67" w:rsidP="00E25E67">
      <w:pPr>
        <w:pStyle w:val="ListParagraph"/>
        <w:numPr>
          <w:ilvl w:val="0"/>
          <w:numId w:val="2"/>
        </w:numPr>
        <w:rPr>
          <w:sz w:val="28"/>
          <w:szCs w:val="28"/>
        </w:rPr>
      </w:pPr>
      <w:r>
        <w:rPr>
          <w:sz w:val="28"/>
          <w:szCs w:val="28"/>
        </w:rPr>
        <w:t xml:space="preserve">Honors College credit option for the course, if available. </w:t>
      </w:r>
    </w:p>
    <w:p w:rsidR="00E25E67" w:rsidRPr="00383EE8" w:rsidRDefault="00E25E67" w:rsidP="00E25E67">
      <w:pPr>
        <w:pStyle w:val="ListParagraph"/>
        <w:numPr>
          <w:ilvl w:val="0"/>
          <w:numId w:val="2"/>
        </w:numPr>
        <w:rPr>
          <w:sz w:val="28"/>
          <w:szCs w:val="28"/>
        </w:rPr>
      </w:pPr>
      <w:r>
        <w:rPr>
          <w:sz w:val="28"/>
          <w:szCs w:val="28"/>
        </w:rPr>
        <w:t xml:space="preserve">Expectations for academic performance and engagement in the course. </w:t>
      </w:r>
    </w:p>
    <w:p w:rsidR="00383EE8" w:rsidRDefault="00383EE8" w:rsidP="00383EE8">
      <w:pPr>
        <w:pStyle w:val="ListParagraph"/>
        <w:numPr>
          <w:ilvl w:val="0"/>
          <w:numId w:val="2"/>
        </w:numPr>
        <w:rPr>
          <w:sz w:val="28"/>
          <w:szCs w:val="28"/>
        </w:rPr>
      </w:pPr>
      <w:r>
        <w:rPr>
          <w:sz w:val="28"/>
          <w:szCs w:val="28"/>
        </w:rPr>
        <w:t xml:space="preserve">Relevant campus resources that could provide supplementary assistance to students (e.g., Campus Cupboard, Counseling through Agape, NSCC Foundation assistance available to students, The Learning Center, etc.) </w:t>
      </w:r>
    </w:p>
    <w:p w:rsidR="00E25E67" w:rsidRDefault="00E25E67" w:rsidP="00383EE8">
      <w:pPr>
        <w:pStyle w:val="ListParagraph"/>
        <w:numPr>
          <w:ilvl w:val="0"/>
          <w:numId w:val="2"/>
        </w:numPr>
        <w:rPr>
          <w:sz w:val="28"/>
          <w:szCs w:val="28"/>
        </w:rPr>
      </w:pPr>
      <w:r>
        <w:rPr>
          <w:sz w:val="28"/>
          <w:szCs w:val="28"/>
        </w:rPr>
        <w:t>Important dates for the semester</w:t>
      </w:r>
    </w:p>
    <w:p w:rsidR="00E25E67" w:rsidRDefault="00E25E67" w:rsidP="00E25E67">
      <w:pPr>
        <w:pStyle w:val="ListParagraph"/>
        <w:numPr>
          <w:ilvl w:val="0"/>
          <w:numId w:val="2"/>
        </w:numPr>
        <w:rPr>
          <w:sz w:val="28"/>
          <w:szCs w:val="28"/>
        </w:rPr>
      </w:pPr>
      <w:r>
        <w:rPr>
          <w:sz w:val="28"/>
          <w:szCs w:val="28"/>
        </w:rPr>
        <w:t>A course contract for students to sign acknowledging and agreeing to expectations and policies outlined in the syllabus.</w:t>
      </w:r>
    </w:p>
    <w:p w:rsidR="00383EE8" w:rsidRPr="00383EE8" w:rsidRDefault="00383EE8" w:rsidP="00383EE8">
      <w:pPr>
        <w:pStyle w:val="ListParagraph"/>
        <w:rPr>
          <w:sz w:val="28"/>
          <w:szCs w:val="28"/>
        </w:rPr>
      </w:pPr>
    </w:p>
    <w:p w:rsidR="00383EE8" w:rsidRPr="00E25E67" w:rsidRDefault="00E25E67" w:rsidP="00E25E67">
      <w:pPr>
        <w:jc w:val="center"/>
        <w:rPr>
          <w:sz w:val="28"/>
          <w:szCs w:val="28"/>
        </w:rPr>
      </w:pPr>
      <w:r w:rsidRPr="00E25E67">
        <w:rPr>
          <w:sz w:val="28"/>
          <w:szCs w:val="28"/>
        </w:rPr>
        <w:t>Examples of Syllabus portions are available on The Teaching CENTER website for you to see what some faculty are using and to be able to adapt these to fit your course.</w:t>
      </w:r>
    </w:p>
    <w:p w:rsidR="00E25E67" w:rsidRPr="00E25E67" w:rsidRDefault="00E25E67" w:rsidP="00E25E67">
      <w:pPr>
        <w:jc w:val="center"/>
        <w:rPr>
          <w:sz w:val="28"/>
          <w:szCs w:val="28"/>
        </w:rPr>
      </w:pPr>
      <w:hyperlink r:id="rId8" w:history="1">
        <w:r w:rsidRPr="00E25E67">
          <w:rPr>
            <w:rStyle w:val="Hyperlink"/>
            <w:sz w:val="28"/>
            <w:szCs w:val="28"/>
          </w:rPr>
          <w:t>http://ww2.nscc.edu/theteachingcenter/resources/nscc-resources/</w:t>
        </w:r>
      </w:hyperlink>
    </w:p>
    <w:sectPr w:rsidR="00E25E67" w:rsidRPr="00E25E67" w:rsidSect="00383EE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451" w:rsidRDefault="009A4451" w:rsidP="009A4451">
      <w:pPr>
        <w:spacing w:after="0" w:line="240" w:lineRule="auto"/>
      </w:pPr>
      <w:r>
        <w:separator/>
      </w:r>
    </w:p>
  </w:endnote>
  <w:endnote w:type="continuationSeparator" w:id="0">
    <w:p w:rsidR="009A4451" w:rsidRDefault="009A4451" w:rsidP="009A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451" w:rsidRDefault="009A4451" w:rsidP="009A4451">
      <w:pPr>
        <w:spacing w:after="0" w:line="240" w:lineRule="auto"/>
      </w:pPr>
      <w:r>
        <w:separator/>
      </w:r>
    </w:p>
  </w:footnote>
  <w:footnote w:type="continuationSeparator" w:id="0">
    <w:p w:rsidR="009A4451" w:rsidRDefault="009A4451" w:rsidP="009A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451" w:rsidRDefault="009A4451" w:rsidP="009A4451">
    <w:pPr>
      <w:pStyle w:val="Header"/>
      <w:jc w:val="center"/>
      <w:rPr>
        <w:rFonts w:ascii="Bodoni MT" w:hAnsi="Bodoni MT"/>
        <w:b/>
        <w:sz w:val="32"/>
        <w:szCs w:val="32"/>
      </w:rPr>
    </w:pPr>
    <w:r w:rsidRPr="009A4451">
      <w:rPr>
        <w:rFonts w:ascii="Bodoni MT" w:hAnsi="Bodoni MT"/>
        <w:b/>
        <w:sz w:val="32"/>
        <w:szCs w:val="32"/>
      </w:rPr>
      <w:t>The Teaching CENTER</w:t>
    </w:r>
  </w:p>
  <w:p w:rsidR="009A4451" w:rsidRPr="00383EE8" w:rsidRDefault="009A4451" w:rsidP="009A4451">
    <w:pPr>
      <w:pStyle w:val="Header"/>
      <w:jc w:val="center"/>
      <w:rPr>
        <w:rFonts w:ascii="Bodoni MT" w:hAnsi="Bodoni MT"/>
        <w:sz w:val="20"/>
        <w:szCs w:val="20"/>
      </w:rPr>
    </w:pPr>
    <w:r w:rsidRPr="00383EE8">
      <w:rPr>
        <w:rFonts w:ascii="Bodoni MT" w:hAnsi="Bodoni MT"/>
        <w:sz w:val="20"/>
        <w:szCs w:val="20"/>
      </w:rPr>
      <w:t xml:space="preserve">Collaboration and Excellence </w:t>
    </w:r>
    <w:proofErr w:type="spellStart"/>
    <w:r w:rsidRPr="00383EE8">
      <w:rPr>
        <w:rFonts w:ascii="Bodoni MT" w:hAnsi="Bodoni MT"/>
        <w:sz w:val="20"/>
        <w:szCs w:val="20"/>
      </w:rPr>
      <w:t>iN</w:t>
    </w:r>
    <w:proofErr w:type="spellEnd"/>
    <w:r w:rsidRPr="00383EE8">
      <w:rPr>
        <w:rFonts w:ascii="Bodoni MT" w:hAnsi="Bodoni MT"/>
        <w:sz w:val="20"/>
        <w:szCs w:val="20"/>
      </w:rPr>
      <w:t> Teaching, Engagement, and Research</w:t>
    </w:r>
  </w:p>
  <w:p w:rsidR="009A4451" w:rsidRPr="00383EE8" w:rsidRDefault="009A4451" w:rsidP="009A4451">
    <w:pPr>
      <w:pStyle w:val="Header"/>
      <w:jc w:val="center"/>
      <w:rPr>
        <w:rFonts w:ascii="Bodoni MT" w:hAnsi="Bodoni MT"/>
        <w:sz w:val="20"/>
        <w:szCs w:val="20"/>
      </w:rPr>
    </w:pPr>
  </w:p>
  <w:p w:rsidR="009A4451" w:rsidRPr="00383EE8" w:rsidRDefault="009A4451" w:rsidP="009A4451">
    <w:pPr>
      <w:pStyle w:val="Header"/>
      <w:jc w:val="center"/>
      <w:rPr>
        <w:rFonts w:ascii="Bodoni MT" w:hAnsi="Bodoni MT"/>
        <w:sz w:val="20"/>
        <w:szCs w:val="20"/>
      </w:rPr>
    </w:pPr>
    <w:r w:rsidRPr="00383EE8">
      <w:rPr>
        <w:rFonts w:ascii="Bodoni MT" w:hAnsi="Bodoni MT"/>
        <w:sz w:val="20"/>
        <w:szCs w:val="20"/>
      </w:rPr>
      <w:t>The CENTER seeks to promote a culturally-responsive environment that values excellence in teaching,</w:t>
    </w:r>
    <w:r w:rsidRPr="00383EE8">
      <w:rPr>
        <w:rFonts w:ascii="Bodoni MT" w:hAnsi="Bodoni MT"/>
        <w:sz w:val="20"/>
        <w:szCs w:val="20"/>
      </w:rPr>
      <w:t xml:space="preserve"> </w:t>
    </w:r>
    <w:r w:rsidRPr="00383EE8">
      <w:rPr>
        <w:rFonts w:ascii="Bodoni MT" w:hAnsi="Bodoni MT"/>
        <w:sz w:val="20"/>
        <w:szCs w:val="20"/>
      </w:rPr>
      <w:t>collaboration, research, and engagement in order to positively impact student success.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8B2"/>
    <w:multiLevelType w:val="hybridMultilevel"/>
    <w:tmpl w:val="CD8C10D4"/>
    <w:lvl w:ilvl="0" w:tplc="765C0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55D56"/>
    <w:multiLevelType w:val="hybridMultilevel"/>
    <w:tmpl w:val="FC364698"/>
    <w:lvl w:ilvl="0" w:tplc="765C0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51"/>
    <w:rsid w:val="00383EE8"/>
    <w:rsid w:val="009A4451"/>
    <w:rsid w:val="00C762F2"/>
    <w:rsid w:val="00E2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EAD7"/>
  <w15:chartTrackingRefBased/>
  <w15:docId w15:val="{C4056376-17F6-4C29-9E40-88B3DF22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51"/>
  </w:style>
  <w:style w:type="paragraph" w:styleId="Footer">
    <w:name w:val="footer"/>
    <w:basedOn w:val="Normal"/>
    <w:link w:val="FooterChar"/>
    <w:uiPriority w:val="99"/>
    <w:unhideWhenUsed/>
    <w:rsid w:val="009A4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51"/>
  </w:style>
  <w:style w:type="character" w:styleId="Hyperlink">
    <w:name w:val="Hyperlink"/>
    <w:basedOn w:val="DefaultParagraphFont"/>
    <w:uiPriority w:val="99"/>
    <w:semiHidden/>
    <w:unhideWhenUsed/>
    <w:rsid w:val="009A4451"/>
    <w:rPr>
      <w:color w:val="0000FF"/>
      <w:u w:val="single"/>
    </w:rPr>
  </w:style>
  <w:style w:type="character" w:styleId="FollowedHyperlink">
    <w:name w:val="FollowedHyperlink"/>
    <w:basedOn w:val="DefaultParagraphFont"/>
    <w:uiPriority w:val="99"/>
    <w:semiHidden/>
    <w:unhideWhenUsed/>
    <w:rsid w:val="009A4451"/>
    <w:rPr>
      <w:color w:val="954F72" w:themeColor="followedHyperlink"/>
      <w:u w:val="single"/>
    </w:rPr>
  </w:style>
  <w:style w:type="paragraph" w:styleId="ListParagraph">
    <w:name w:val="List Paragraph"/>
    <w:basedOn w:val="Normal"/>
    <w:uiPriority w:val="34"/>
    <w:qFormat/>
    <w:rsid w:val="009A4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nscc.edu/theteachingcenter/resources/nscc-resources/" TargetMode="External"/><Relationship Id="rId3" Type="http://schemas.openxmlformats.org/officeDocument/2006/relationships/settings" Target="settings.xml"/><Relationship Id="rId7" Type="http://schemas.openxmlformats.org/officeDocument/2006/relationships/hyperlink" Target="http://ww2.nscc.edu/theteachingcenter/resources/nscc-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2</cp:revision>
  <dcterms:created xsi:type="dcterms:W3CDTF">2019-12-04T15:24:00Z</dcterms:created>
  <dcterms:modified xsi:type="dcterms:W3CDTF">2019-12-04T15:24:00Z</dcterms:modified>
</cp:coreProperties>
</file>